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50" w:rsidRDefault="00B62F50" w:rsidP="00B62F50">
      <w:pPr>
        <w:spacing w:after="0" w:line="312" w:lineRule="auto"/>
        <w:jc w:val="center"/>
        <w:textAlignment w:val="baseline"/>
        <w:rPr>
          <w:rFonts w:ascii="David" w:eastAsia="Times New Roman" w:hAnsi="David" w:cs="David"/>
          <w:b/>
          <w:bCs/>
          <w:sz w:val="28"/>
          <w:szCs w:val="28"/>
          <w:rtl/>
        </w:rPr>
      </w:pPr>
      <w:r w:rsidRPr="00521479">
        <w:rPr>
          <w:rFonts w:ascii="David" w:hAnsi="David" w:cs="David"/>
          <w:b/>
          <w:bCs/>
          <w:sz w:val="28"/>
          <w:szCs w:val="28"/>
          <w:rtl/>
        </w:rPr>
        <w:t xml:space="preserve">שירותים </w:t>
      </w:r>
      <w:proofErr w:type="spellStart"/>
      <w:r w:rsidRPr="00521479">
        <w:rPr>
          <w:rFonts w:ascii="David" w:hAnsi="David" w:cs="David"/>
          <w:b/>
          <w:bCs/>
          <w:sz w:val="28"/>
          <w:szCs w:val="28"/>
          <w:rtl/>
        </w:rPr>
        <w:t>פליאטיביים</w:t>
      </w:r>
      <w:proofErr w:type="spellEnd"/>
      <w:r w:rsidRPr="00521479">
        <w:rPr>
          <w:rFonts w:ascii="David" w:hAnsi="David" w:cs="David"/>
          <w:b/>
          <w:bCs/>
          <w:sz w:val="28"/>
          <w:szCs w:val="28"/>
          <w:rtl/>
        </w:rPr>
        <w:t xml:space="preserve"> רב</w:t>
      </w:r>
      <w:r>
        <w:rPr>
          <w:rFonts w:ascii="David" w:hAnsi="David" w:cs="David" w:hint="cs"/>
          <w:b/>
          <w:bCs/>
          <w:sz w:val="28"/>
          <w:szCs w:val="28"/>
          <w:rtl/>
        </w:rPr>
        <w:t>-</w:t>
      </w:r>
      <w:r w:rsidRPr="00521479">
        <w:rPr>
          <w:rFonts w:ascii="David" w:hAnsi="David" w:cs="David"/>
          <w:b/>
          <w:bCs/>
          <w:sz w:val="28"/>
          <w:szCs w:val="28"/>
          <w:rtl/>
        </w:rPr>
        <w:t>מקצועיים לאנשים עם מחלות כרוניות ובמצבי סוף החיים</w:t>
      </w:r>
      <w:r w:rsidRPr="00521479">
        <w:rPr>
          <w:rFonts w:ascii="David" w:hAnsi="David" w:cs="David"/>
          <w:b/>
          <w:bCs/>
          <w:sz w:val="28"/>
          <w:szCs w:val="28"/>
        </w:rPr>
        <w:t xml:space="preserve"> </w:t>
      </w:r>
    </w:p>
    <w:p w:rsidR="00B62F50" w:rsidRPr="00412AF3" w:rsidRDefault="00B62F50" w:rsidP="00B62F50">
      <w:pPr>
        <w:spacing w:after="0" w:line="312" w:lineRule="auto"/>
        <w:ind w:hanging="720"/>
        <w:textAlignment w:val="baseline"/>
        <w:rPr>
          <w:rFonts w:eastAsia="Times New Roman" w:cs="David"/>
          <w:sz w:val="24"/>
          <w:szCs w:val="24"/>
          <w:rtl/>
        </w:rPr>
      </w:pPr>
      <w:r>
        <w:rPr>
          <w:rFonts w:eastAsia="Times New Roman" w:cs="David" w:hint="cs"/>
          <w:sz w:val="24"/>
          <w:szCs w:val="24"/>
          <w:rtl/>
        </w:rPr>
        <w:t>01831268</w:t>
      </w:r>
      <w:bookmarkStart w:id="0" w:name="_GoBack"/>
      <w:bookmarkEnd w:id="0"/>
      <w:r w:rsidRPr="00412AF3">
        <w:rPr>
          <w:rFonts w:eastAsia="Times New Roman" w:cs="David"/>
          <w:sz w:val="24"/>
          <w:szCs w:val="24"/>
          <w:rtl/>
        </w:rPr>
        <w:t>  </w:t>
      </w:r>
    </w:p>
    <w:p w:rsidR="00B62F50" w:rsidRDefault="00B62F50" w:rsidP="00B62F50">
      <w:pPr>
        <w:spacing w:after="0" w:line="312" w:lineRule="auto"/>
        <w:textAlignment w:val="baseline"/>
        <w:rPr>
          <w:rFonts w:ascii="Calibri" w:eastAsia="Times New Roman" w:hAnsi="Calibri" w:cs="David"/>
          <w:sz w:val="24"/>
          <w:szCs w:val="24"/>
          <w:rtl/>
        </w:rPr>
      </w:pPr>
      <w:r w:rsidRPr="00412AF3">
        <w:rPr>
          <w:rFonts w:ascii="Arial" w:eastAsia="Times New Roman" w:hAnsi="Arial" w:cs="David" w:hint="cs"/>
          <w:b/>
          <w:bCs/>
          <w:sz w:val="24"/>
          <w:szCs w:val="24"/>
          <w:rtl/>
        </w:rPr>
        <w:t>מרצ</w:t>
      </w:r>
      <w:r>
        <w:rPr>
          <w:rFonts w:ascii="Arial" w:eastAsia="Times New Roman" w:hAnsi="Arial" w:cs="David" w:hint="cs"/>
          <w:b/>
          <w:bCs/>
          <w:sz w:val="24"/>
          <w:szCs w:val="24"/>
          <w:rtl/>
        </w:rPr>
        <w:t>ה</w:t>
      </w:r>
      <w:r w:rsidRPr="00412AF3">
        <w:rPr>
          <w:rFonts w:eastAsia="Times New Roman" w:cs="David"/>
          <w:b/>
          <w:bCs/>
          <w:sz w:val="24"/>
          <w:szCs w:val="24"/>
          <w:rtl/>
        </w:rPr>
        <w:t>:</w:t>
      </w:r>
      <w:r w:rsidRPr="00412AF3">
        <w:rPr>
          <w:rFonts w:eastAsia="Times New Roman" w:cs="David"/>
          <w:sz w:val="24"/>
          <w:szCs w:val="24"/>
          <w:rtl/>
        </w:rPr>
        <w:t> </w:t>
      </w:r>
      <w:r w:rsidRPr="00412AF3">
        <w:rPr>
          <w:rFonts w:ascii="Arial" w:eastAsia="Times New Roman" w:hAnsi="Arial" w:cs="David" w:hint="cs"/>
          <w:sz w:val="24"/>
          <w:szCs w:val="24"/>
          <w:rtl/>
        </w:rPr>
        <w:t>פרופ</w:t>
      </w:r>
      <w:r w:rsidRPr="00412AF3">
        <w:rPr>
          <w:rFonts w:eastAsia="Times New Roman" w:cs="David"/>
          <w:sz w:val="24"/>
          <w:szCs w:val="24"/>
          <w:rtl/>
        </w:rPr>
        <w:t xml:space="preserve">' </w:t>
      </w:r>
      <w:r w:rsidRPr="00412AF3">
        <w:rPr>
          <w:rFonts w:ascii="Arial" w:eastAsia="Times New Roman" w:hAnsi="Arial" w:cs="David" w:hint="cs"/>
          <w:sz w:val="24"/>
          <w:szCs w:val="24"/>
          <w:rtl/>
        </w:rPr>
        <w:t>נטע</w:t>
      </w:r>
      <w:r w:rsidRPr="00412AF3">
        <w:rPr>
          <w:rFonts w:eastAsia="Times New Roman" w:cs="David"/>
          <w:sz w:val="24"/>
          <w:szCs w:val="24"/>
          <w:rtl/>
        </w:rPr>
        <w:t xml:space="preserve"> </w:t>
      </w:r>
      <w:r w:rsidRPr="00412AF3">
        <w:rPr>
          <w:rFonts w:ascii="Arial" w:eastAsia="Times New Roman" w:hAnsi="Arial" w:cs="David" w:hint="cs"/>
          <w:sz w:val="24"/>
          <w:szCs w:val="24"/>
          <w:rtl/>
        </w:rPr>
        <w:t>בנטור</w:t>
      </w:r>
      <w:r w:rsidRPr="00412AF3">
        <w:rPr>
          <w:rFonts w:ascii="Calibri" w:eastAsia="Times New Roman" w:hAnsi="Calibri" w:cs="David" w:hint="cs"/>
          <w:sz w:val="24"/>
          <w:szCs w:val="24"/>
          <w:rtl/>
        </w:rPr>
        <w:t> </w:t>
      </w:r>
    </w:p>
    <w:p w:rsidR="00B62F50" w:rsidRPr="00412AF3"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b/>
          <w:bCs/>
          <w:sz w:val="24"/>
          <w:szCs w:val="24"/>
          <w:rtl/>
        </w:rPr>
        <w:t>שנה</w:t>
      </w:r>
      <w:r w:rsidRPr="00412AF3">
        <w:rPr>
          <w:rFonts w:eastAsia="Times New Roman" w:cs="David"/>
          <w:b/>
          <w:bCs/>
          <w:sz w:val="24"/>
          <w:szCs w:val="24"/>
          <w:rtl/>
        </w:rPr>
        <w:t>"</w:t>
      </w:r>
      <w:r w:rsidRPr="00412AF3">
        <w:rPr>
          <w:rFonts w:ascii="Arial" w:eastAsia="Times New Roman" w:hAnsi="Arial" w:cs="David" w:hint="cs"/>
          <w:b/>
          <w:bCs/>
          <w:sz w:val="24"/>
          <w:szCs w:val="24"/>
          <w:rtl/>
        </w:rPr>
        <w:t>ל</w:t>
      </w:r>
      <w:r w:rsidRPr="00412AF3">
        <w:rPr>
          <w:rFonts w:eastAsia="Times New Roman" w:cs="David"/>
          <w:b/>
          <w:bCs/>
          <w:sz w:val="24"/>
          <w:szCs w:val="24"/>
          <w:rtl/>
        </w:rPr>
        <w:t>:</w:t>
      </w:r>
      <w:r w:rsidRPr="00412AF3">
        <w:rPr>
          <w:rFonts w:eastAsia="Times New Roman" w:cs="David"/>
          <w:sz w:val="24"/>
          <w:szCs w:val="24"/>
          <w:rtl/>
        </w:rPr>
        <w:t> </w:t>
      </w:r>
      <w:r w:rsidRPr="00412AF3">
        <w:rPr>
          <w:rFonts w:ascii="Arial" w:eastAsia="Times New Roman" w:hAnsi="Arial" w:cs="David" w:hint="cs"/>
          <w:sz w:val="24"/>
          <w:szCs w:val="24"/>
          <w:rtl/>
        </w:rPr>
        <w:t>תשע</w:t>
      </w:r>
      <w:r w:rsidRPr="00412AF3">
        <w:rPr>
          <w:rFonts w:eastAsia="Times New Roman" w:cs="David"/>
          <w:sz w:val="24"/>
          <w:szCs w:val="24"/>
          <w:rtl/>
        </w:rPr>
        <w:t>"</w:t>
      </w:r>
      <w:r>
        <w:rPr>
          <w:rFonts w:ascii="Arial" w:eastAsia="Times New Roman" w:hAnsi="Arial" w:cs="David" w:hint="cs"/>
          <w:sz w:val="24"/>
          <w:szCs w:val="24"/>
          <w:rtl/>
        </w:rPr>
        <w:t>ח</w:t>
      </w:r>
      <w:r w:rsidRPr="00412AF3">
        <w:rPr>
          <w:rFonts w:ascii="Calibri" w:eastAsia="Times New Roman" w:hAnsi="Calibri" w:cs="David" w:hint="cs"/>
          <w:sz w:val="24"/>
          <w:szCs w:val="24"/>
          <w:rtl/>
        </w:rPr>
        <w:t> </w:t>
      </w:r>
    </w:p>
    <w:p w:rsidR="00B62F50" w:rsidRPr="00412AF3" w:rsidRDefault="00B62F50" w:rsidP="00B62F50">
      <w:pPr>
        <w:spacing w:after="0" w:line="312" w:lineRule="auto"/>
        <w:textAlignment w:val="baseline"/>
        <w:rPr>
          <w:rFonts w:eastAsia="Times New Roman" w:cs="David"/>
          <w:sz w:val="24"/>
          <w:szCs w:val="24"/>
          <w:rtl/>
        </w:rPr>
      </w:pPr>
      <w:proofErr w:type="spellStart"/>
      <w:r w:rsidRPr="00412AF3">
        <w:rPr>
          <w:rFonts w:ascii="Arial" w:eastAsia="Times New Roman" w:hAnsi="Arial" w:cs="David" w:hint="cs"/>
          <w:b/>
          <w:bCs/>
          <w:sz w:val="24"/>
          <w:szCs w:val="24"/>
          <w:rtl/>
        </w:rPr>
        <w:t>סימסטר</w:t>
      </w:r>
      <w:proofErr w:type="spellEnd"/>
      <w:r w:rsidRPr="00412AF3">
        <w:rPr>
          <w:rFonts w:eastAsia="Times New Roman" w:cs="David"/>
          <w:b/>
          <w:bCs/>
          <w:sz w:val="24"/>
          <w:szCs w:val="24"/>
          <w:rtl/>
        </w:rPr>
        <w:t>:</w:t>
      </w:r>
      <w:r w:rsidRPr="00412AF3">
        <w:rPr>
          <w:rFonts w:eastAsia="Times New Roman" w:cs="David"/>
          <w:sz w:val="24"/>
          <w:szCs w:val="24"/>
          <w:rtl/>
        </w:rPr>
        <w:t> </w:t>
      </w:r>
      <w:r w:rsidRPr="00412AF3">
        <w:rPr>
          <w:rFonts w:ascii="Arial" w:eastAsia="Times New Roman" w:hAnsi="Arial" w:cs="David" w:hint="cs"/>
          <w:sz w:val="24"/>
          <w:szCs w:val="24"/>
          <w:rtl/>
        </w:rPr>
        <w:t xml:space="preserve"> ב</w:t>
      </w:r>
      <w:r w:rsidRPr="00412AF3">
        <w:rPr>
          <w:rFonts w:eastAsia="Times New Roman" w:cs="David"/>
          <w:sz w:val="24"/>
          <w:szCs w:val="24"/>
          <w:rtl/>
        </w:rPr>
        <w:t>'</w:t>
      </w:r>
      <w:r w:rsidRPr="00412AF3">
        <w:rPr>
          <w:rFonts w:ascii="Calibri" w:eastAsia="Times New Roman" w:hAnsi="Calibri" w:cs="David" w:hint="cs"/>
          <w:sz w:val="24"/>
          <w:szCs w:val="24"/>
          <w:rtl/>
        </w:rPr>
        <w:t> </w:t>
      </w:r>
    </w:p>
    <w:p w:rsidR="00B62F50" w:rsidRPr="00412AF3" w:rsidRDefault="00B62F50" w:rsidP="00B62F50">
      <w:pPr>
        <w:spacing w:after="0" w:line="312" w:lineRule="auto"/>
        <w:textAlignment w:val="baseline"/>
        <w:rPr>
          <w:rFonts w:eastAsia="Times New Roman" w:cs="David"/>
          <w:sz w:val="24"/>
          <w:szCs w:val="24"/>
          <w:rtl/>
        </w:rPr>
      </w:pPr>
      <w:r>
        <w:rPr>
          <w:rFonts w:ascii="Arial" w:eastAsia="Times New Roman" w:hAnsi="Arial" w:cs="David" w:hint="cs"/>
          <w:b/>
          <w:bCs/>
          <w:sz w:val="24"/>
          <w:szCs w:val="24"/>
          <w:rtl/>
        </w:rPr>
        <w:t xml:space="preserve">תקשורת: </w:t>
      </w:r>
      <w:hyperlink r:id="rId8" w:tgtFrame="_blank" w:history="1">
        <w:r w:rsidRPr="00412AF3">
          <w:rPr>
            <w:rFonts w:eastAsia="Times New Roman" w:cs="David"/>
            <w:color w:val="0000FF"/>
            <w:sz w:val="24"/>
            <w:szCs w:val="24"/>
            <w:u w:val="single"/>
          </w:rPr>
          <w:t>bentur@jdc.org.il</w:t>
        </w:r>
      </w:hyperlink>
      <w:r w:rsidRPr="00412AF3">
        <w:rPr>
          <w:rFonts w:eastAsia="Times New Roman" w:cs="David"/>
          <w:sz w:val="24"/>
          <w:szCs w:val="24"/>
          <w:rtl/>
        </w:rPr>
        <w:t>  </w:t>
      </w:r>
      <w:r>
        <w:rPr>
          <w:rFonts w:eastAsia="Times New Roman" w:cs="David" w:hint="cs"/>
          <w:sz w:val="24"/>
          <w:szCs w:val="24"/>
          <w:rtl/>
        </w:rPr>
        <w:t>02-6438442 בשעות הערב</w:t>
      </w:r>
    </w:p>
    <w:p w:rsidR="00B62F50" w:rsidRPr="00412AF3" w:rsidRDefault="00B62F50" w:rsidP="00B62F50">
      <w:pPr>
        <w:spacing w:after="0" w:line="312" w:lineRule="auto"/>
        <w:textAlignment w:val="baseline"/>
        <w:rPr>
          <w:rFonts w:eastAsia="Times New Roman" w:cs="David"/>
          <w:sz w:val="24"/>
          <w:szCs w:val="24"/>
          <w:rtl/>
        </w:rPr>
      </w:pPr>
    </w:p>
    <w:p w:rsidR="00B62F50" w:rsidRPr="00412AF3" w:rsidRDefault="00B62F50" w:rsidP="00B62F50">
      <w:pPr>
        <w:spacing w:after="0" w:line="312" w:lineRule="auto"/>
        <w:textAlignment w:val="baseline"/>
        <w:rPr>
          <w:rFonts w:eastAsia="Times New Roman" w:cs="David"/>
          <w:sz w:val="24"/>
          <w:szCs w:val="24"/>
          <w:rtl/>
        </w:rPr>
      </w:pPr>
      <w:r w:rsidRPr="00412AF3">
        <w:rPr>
          <w:rFonts w:eastAsia="Times New Roman" w:cs="David"/>
          <w:sz w:val="24"/>
          <w:szCs w:val="24"/>
          <w:rtl/>
        </w:rPr>
        <w:t> </w:t>
      </w:r>
    </w:p>
    <w:p w:rsidR="00B62F50" w:rsidRPr="00412AF3"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b/>
          <w:bCs/>
          <w:sz w:val="24"/>
          <w:szCs w:val="24"/>
          <w:rtl/>
        </w:rPr>
        <w:t>תיאור</w:t>
      </w:r>
      <w:r w:rsidRPr="00412AF3">
        <w:rPr>
          <w:rFonts w:ascii="Calibri" w:eastAsia="Times New Roman" w:hAnsi="Calibri" w:cs="David" w:hint="cs"/>
          <w:b/>
          <w:bCs/>
          <w:sz w:val="24"/>
          <w:szCs w:val="24"/>
          <w:rtl/>
        </w:rPr>
        <w:t> </w:t>
      </w:r>
      <w:r w:rsidRPr="00412AF3">
        <w:rPr>
          <w:rFonts w:ascii="Arial" w:eastAsia="Times New Roman" w:hAnsi="Arial" w:cs="David" w:hint="cs"/>
          <w:b/>
          <w:bCs/>
          <w:sz w:val="24"/>
          <w:szCs w:val="24"/>
          <w:rtl/>
        </w:rPr>
        <w:t>הקורס</w:t>
      </w:r>
      <w:r w:rsidRPr="00412AF3">
        <w:rPr>
          <w:rFonts w:ascii="Calibri" w:eastAsia="Times New Roman" w:hAnsi="Calibri" w:cs="David" w:hint="cs"/>
          <w:b/>
          <w:bCs/>
          <w:sz w:val="24"/>
          <w:szCs w:val="24"/>
          <w:rtl/>
        </w:rPr>
        <w:t> </w:t>
      </w:r>
      <w:r w:rsidRPr="00412AF3">
        <w:rPr>
          <w:rFonts w:ascii="Arial" w:eastAsia="Times New Roman" w:hAnsi="Arial" w:cs="David" w:hint="cs"/>
          <w:b/>
          <w:bCs/>
          <w:sz w:val="24"/>
          <w:szCs w:val="24"/>
          <w:rtl/>
        </w:rPr>
        <w:t>ומטרותיו</w:t>
      </w:r>
      <w:r w:rsidRPr="00412AF3">
        <w:rPr>
          <w:rFonts w:eastAsia="Times New Roman" w:cs="David"/>
          <w:sz w:val="24"/>
          <w:szCs w:val="24"/>
          <w:rtl/>
        </w:rPr>
        <w:t> </w:t>
      </w:r>
    </w:p>
    <w:p w:rsidR="00B62F50" w:rsidRDefault="00B62F50" w:rsidP="00B62F50">
      <w:pPr>
        <w:spacing w:after="0" w:line="312" w:lineRule="auto"/>
        <w:textAlignment w:val="baseline"/>
        <w:rPr>
          <w:rFonts w:eastAsia="Times New Roman" w:cs="David"/>
          <w:sz w:val="24"/>
          <w:szCs w:val="24"/>
          <w:rtl/>
        </w:rPr>
      </w:pPr>
      <w:r>
        <w:rPr>
          <w:rFonts w:ascii="Arial" w:eastAsia="Times New Roman" w:hAnsi="Arial" w:cs="David" w:hint="cs"/>
          <w:sz w:val="24"/>
          <w:szCs w:val="24"/>
          <w:rtl/>
        </w:rPr>
        <w:t xml:space="preserve">במהלך הקורס הסטודנטים ייחשפו לתפיסת העולם, לגישה ולעקרונות הטיפול </w:t>
      </w:r>
      <w:proofErr w:type="spellStart"/>
      <w:r>
        <w:rPr>
          <w:rFonts w:ascii="Arial" w:eastAsia="Times New Roman" w:hAnsi="Arial" w:cs="David" w:hint="cs"/>
          <w:sz w:val="24"/>
          <w:szCs w:val="24"/>
          <w:rtl/>
        </w:rPr>
        <w:t>הפליאטיבי</w:t>
      </w:r>
      <w:proofErr w:type="spellEnd"/>
      <w:r>
        <w:rPr>
          <w:rFonts w:ascii="Arial" w:eastAsia="Times New Roman" w:hAnsi="Arial" w:cs="David" w:hint="cs"/>
          <w:sz w:val="24"/>
          <w:szCs w:val="24"/>
          <w:rtl/>
        </w:rPr>
        <w:t xml:space="preserve">, אשר נועד לשפר את איכות החיים של אנשים עם מחלות כרוניות, מחלות המאיימות על משך החיים ואנשים במצבי סוף החיים. בקורס יוצגו עקרונות הטיפול הפיזי, התפקודי, הנפשי והרוחני בחולים ובבני משפחתם, תוך הדגשת החשיבות של גישת המטופל במרכז. כמו כן יוצגו </w:t>
      </w:r>
      <w:r w:rsidRPr="00412AF3">
        <w:rPr>
          <w:rFonts w:ascii="Arial" w:eastAsia="Times New Roman" w:hAnsi="Arial" w:cs="David" w:hint="cs"/>
          <w:sz w:val="24"/>
          <w:szCs w:val="24"/>
          <w:rtl/>
        </w:rPr>
        <w:t>הגורמים</w:t>
      </w:r>
      <w:r w:rsidRPr="00412AF3">
        <w:rPr>
          <w:rFonts w:ascii="Calibri" w:eastAsia="Times New Roman" w:hAnsi="Calibri" w:cs="David" w:hint="cs"/>
          <w:sz w:val="24"/>
          <w:szCs w:val="24"/>
          <w:rtl/>
        </w:rPr>
        <w:t> </w:t>
      </w:r>
      <w:r w:rsidRPr="00412AF3">
        <w:rPr>
          <w:rFonts w:ascii="Arial" w:eastAsia="Times New Roman" w:hAnsi="Arial" w:cs="David" w:hint="cs"/>
          <w:sz w:val="24"/>
          <w:szCs w:val="24"/>
          <w:rtl/>
        </w:rPr>
        <w:t>המרכזיים</w:t>
      </w:r>
      <w:r w:rsidRPr="00412AF3">
        <w:rPr>
          <w:rFonts w:eastAsia="Times New Roman" w:cs="David"/>
          <w:sz w:val="24"/>
          <w:szCs w:val="24"/>
          <w:rtl/>
        </w:rPr>
        <w:t xml:space="preserve"> </w:t>
      </w:r>
      <w:r>
        <w:rPr>
          <w:rFonts w:eastAsia="Times New Roman" w:cs="David" w:hint="cs"/>
          <w:sz w:val="24"/>
          <w:szCs w:val="24"/>
          <w:rtl/>
        </w:rPr>
        <w:t xml:space="preserve">שנוטלים חלק בטיפול ותדון חשיבות </w:t>
      </w:r>
      <w:r w:rsidRPr="00412AF3">
        <w:rPr>
          <w:rFonts w:ascii="Arial" w:eastAsia="Times New Roman" w:hAnsi="Arial" w:cs="David" w:hint="cs"/>
          <w:sz w:val="24"/>
          <w:szCs w:val="24"/>
          <w:rtl/>
        </w:rPr>
        <w:t>הממשקים</w:t>
      </w:r>
      <w:r w:rsidRPr="00412AF3">
        <w:rPr>
          <w:rFonts w:ascii="Calibri" w:eastAsia="Times New Roman" w:hAnsi="Calibri" w:cs="David" w:hint="cs"/>
          <w:sz w:val="24"/>
          <w:szCs w:val="24"/>
          <w:rtl/>
        </w:rPr>
        <w:t> </w:t>
      </w:r>
      <w:r w:rsidRPr="00412AF3">
        <w:rPr>
          <w:rFonts w:ascii="Arial" w:eastAsia="Times New Roman" w:hAnsi="Arial" w:cs="David" w:hint="cs"/>
          <w:sz w:val="24"/>
          <w:szCs w:val="24"/>
          <w:rtl/>
        </w:rPr>
        <w:t>ביניהם</w:t>
      </w:r>
      <w:r>
        <w:rPr>
          <w:rFonts w:ascii="Arial" w:eastAsia="Times New Roman" w:hAnsi="Arial" w:cs="David" w:hint="cs"/>
          <w:sz w:val="24"/>
          <w:szCs w:val="24"/>
          <w:rtl/>
        </w:rPr>
        <w:t xml:space="preserve"> ועבודה בגישה רב-מקצועית</w:t>
      </w:r>
      <w:r>
        <w:rPr>
          <w:rFonts w:eastAsia="Times New Roman" w:cs="David" w:hint="cs"/>
          <w:sz w:val="24"/>
          <w:szCs w:val="24"/>
          <w:rtl/>
        </w:rPr>
        <w:t xml:space="preserve">. במסגרת הקורס </w:t>
      </w:r>
      <w:r w:rsidRPr="00412AF3">
        <w:rPr>
          <w:rFonts w:ascii="Arial" w:eastAsia="Times New Roman" w:hAnsi="Arial" w:cs="David" w:hint="cs"/>
          <w:sz w:val="24"/>
          <w:szCs w:val="24"/>
          <w:rtl/>
        </w:rPr>
        <w:t>הסטודנטים</w:t>
      </w:r>
      <w:r w:rsidRPr="00412AF3">
        <w:rPr>
          <w:rFonts w:ascii="Calibri" w:eastAsia="Times New Roman" w:hAnsi="Calibri" w:cs="David" w:hint="cs"/>
          <w:sz w:val="24"/>
          <w:szCs w:val="24"/>
          <w:rtl/>
        </w:rPr>
        <w:t> </w:t>
      </w:r>
      <w:r>
        <w:rPr>
          <w:rFonts w:ascii="Calibri" w:eastAsia="Times New Roman" w:hAnsi="Calibri" w:cs="David" w:hint="cs"/>
          <w:sz w:val="24"/>
          <w:szCs w:val="24"/>
          <w:rtl/>
        </w:rPr>
        <w:t xml:space="preserve">גם </w:t>
      </w:r>
      <w:r w:rsidRPr="00412AF3">
        <w:rPr>
          <w:rFonts w:ascii="Arial" w:eastAsia="Times New Roman" w:hAnsi="Arial" w:cs="David" w:hint="cs"/>
          <w:sz w:val="24"/>
          <w:szCs w:val="24"/>
          <w:rtl/>
        </w:rPr>
        <w:t>ייחשפו</w:t>
      </w:r>
      <w:r w:rsidRPr="00412AF3">
        <w:rPr>
          <w:rFonts w:eastAsia="Times New Roman" w:cs="David"/>
          <w:sz w:val="24"/>
          <w:szCs w:val="24"/>
          <w:rtl/>
        </w:rPr>
        <w:t xml:space="preserve"> </w:t>
      </w:r>
      <w:r>
        <w:rPr>
          <w:rFonts w:eastAsia="Times New Roman" w:cs="David" w:hint="cs"/>
          <w:sz w:val="24"/>
          <w:szCs w:val="24"/>
          <w:rtl/>
        </w:rPr>
        <w:t xml:space="preserve">לאתגרים הכרוכים במתן טיפול </w:t>
      </w:r>
      <w:proofErr w:type="spellStart"/>
      <w:r>
        <w:rPr>
          <w:rFonts w:eastAsia="Times New Roman" w:cs="David" w:hint="cs"/>
          <w:sz w:val="24"/>
          <w:szCs w:val="24"/>
          <w:rtl/>
        </w:rPr>
        <w:t>פליאטיבי</w:t>
      </w:r>
      <w:proofErr w:type="spellEnd"/>
      <w:r>
        <w:rPr>
          <w:rFonts w:eastAsia="Times New Roman" w:cs="David" w:hint="cs"/>
          <w:sz w:val="24"/>
          <w:szCs w:val="24"/>
          <w:rtl/>
        </w:rPr>
        <w:t xml:space="preserve">, כמו תקשורת פתוחה ואמירת אמת, הכנת הנחיות טיפול מוקדמות, סוגיות אתיות ונושאים אחרים. </w:t>
      </w:r>
    </w:p>
    <w:p w:rsidR="00B62F50" w:rsidRDefault="00B62F50" w:rsidP="00B62F50">
      <w:pPr>
        <w:spacing w:after="0" w:line="312" w:lineRule="auto"/>
        <w:textAlignment w:val="baseline"/>
        <w:rPr>
          <w:rFonts w:eastAsia="Times New Roman" w:cs="David"/>
          <w:sz w:val="24"/>
          <w:szCs w:val="24"/>
          <w:rtl/>
        </w:rPr>
      </w:pPr>
    </w:p>
    <w:p w:rsidR="00B62F50" w:rsidRPr="00412AF3" w:rsidRDefault="00B62F50" w:rsidP="00B62F50">
      <w:pPr>
        <w:spacing w:after="0" w:line="312" w:lineRule="auto"/>
        <w:textAlignment w:val="baseline"/>
        <w:rPr>
          <w:rFonts w:eastAsia="Times New Roman" w:cs="David"/>
          <w:sz w:val="24"/>
          <w:szCs w:val="24"/>
          <w:rtl/>
        </w:rPr>
      </w:pPr>
      <w:r w:rsidRPr="00412AF3">
        <w:rPr>
          <w:rFonts w:eastAsia="Times New Roman" w:cs="David"/>
          <w:sz w:val="24"/>
          <w:szCs w:val="24"/>
          <w:rtl/>
        </w:rPr>
        <w:t> </w:t>
      </w:r>
      <w:r w:rsidRPr="00412AF3">
        <w:rPr>
          <w:rFonts w:ascii="Arial" w:eastAsia="Times New Roman" w:hAnsi="Arial" w:cs="David" w:hint="cs"/>
          <w:b/>
          <w:bCs/>
          <w:color w:val="000000"/>
          <w:sz w:val="24"/>
          <w:szCs w:val="24"/>
          <w:rtl/>
        </w:rPr>
        <w:t>נושאי</w:t>
      </w:r>
      <w:r w:rsidRPr="00412AF3">
        <w:rPr>
          <w:rFonts w:eastAsia="Times New Roman" w:cs="David"/>
          <w:b/>
          <w:bCs/>
          <w:color w:val="000000"/>
          <w:sz w:val="24"/>
          <w:szCs w:val="24"/>
          <w:rtl/>
        </w:rPr>
        <w:t xml:space="preserve"> </w:t>
      </w:r>
      <w:r w:rsidRPr="00412AF3">
        <w:rPr>
          <w:rFonts w:ascii="Arial" w:eastAsia="Times New Roman" w:hAnsi="Arial" w:cs="David" w:hint="cs"/>
          <w:b/>
          <w:bCs/>
          <w:color w:val="000000"/>
          <w:sz w:val="24"/>
          <w:szCs w:val="24"/>
          <w:rtl/>
        </w:rPr>
        <w:t>הלימוד</w:t>
      </w:r>
      <w:r w:rsidRPr="00412AF3">
        <w:rPr>
          <w:rFonts w:eastAsia="Times New Roman" w:cs="David"/>
          <w:sz w:val="24"/>
          <w:szCs w:val="24"/>
          <w:rtl/>
        </w:rPr>
        <w:t> </w:t>
      </w:r>
    </w:p>
    <w:p w:rsidR="00B62F50" w:rsidRPr="00162B6E" w:rsidRDefault="00B62F50" w:rsidP="00B62F50">
      <w:pPr>
        <w:pStyle w:val="a7"/>
        <w:numPr>
          <w:ilvl w:val="0"/>
          <w:numId w:val="34"/>
        </w:numPr>
        <w:spacing w:after="0" w:line="312" w:lineRule="auto"/>
        <w:textAlignment w:val="baseline"/>
        <w:rPr>
          <w:rFonts w:eastAsia="Times New Roman" w:cs="David"/>
          <w:sz w:val="24"/>
          <w:szCs w:val="24"/>
          <w:rtl/>
        </w:rPr>
      </w:pPr>
      <w:r w:rsidRPr="00162B6E">
        <w:rPr>
          <w:rFonts w:eastAsia="Times New Roman" w:cs="David" w:hint="cs"/>
          <w:sz w:val="24"/>
          <w:szCs w:val="24"/>
          <w:rtl/>
        </w:rPr>
        <w:t xml:space="preserve">מהו טיפול </w:t>
      </w:r>
      <w:proofErr w:type="spellStart"/>
      <w:r w:rsidRPr="00162B6E">
        <w:rPr>
          <w:rFonts w:eastAsia="Times New Roman" w:cs="David" w:hint="cs"/>
          <w:sz w:val="24"/>
          <w:szCs w:val="24"/>
          <w:rtl/>
        </w:rPr>
        <w:t>פליאטיבי</w:t>
      </w:r>
      <w:proofErr w:type="spellEnd"/>
      <w:r w:rsidRPr="00162B6E">
        <w:rPr>
          <w:rFonts w:eastAsia="Times New Roman" w:cs="David" w:hint="cs"/>
          <w:sz w:val="24"/>
          <w:szCs w:val="24"/>
          <w:rtl/>
        </w:rPr>
        <w:t>?</w:t>
      </w:r>
    </w:p>
    <w:p w:rsidR="00B62F50" w:rsidRPr="00162B6E" w:rsidRDefault="00B62F50" w:rsidP="00B62F50">
      <w:pPr>
        <w:pStyle w:val="a7"/>
        <w:numPr>
          <w:ilvl w:val="0"/>
          <w:numId w:val="34"/>
        </w:numPr>
        <w:spacing w:after="0" w:line="312" w:lineRule="auto"/>
        <w:textAlignment w:val="baseline"/>
        <w:rPr>
          <w:rFonts w:eastAsia="Times New Roman" w:cs="David"/>
          <w:sz w:val="24"/>
          <w:szCs w:val="24"/>
          <w:rtl/>
        </w:rPr>
      </w:pPr>
      <w:r>
        <w:rPr>
          <w:rFonts w:eastAsia="Times New Roman" w:cs="David" w:hint="cs"/>
          <w:sz w:val="24"/>
          <w:szCs w:val="24"/>
          <w:rtl/>
        </w:rPr>
        <w:t>מיהם החולים ש</w:t>
      </w:r>
      <w:r w:rsidRPr="00162B6E">
        <w:rPr>
          <w:rFonts w:eastAsia="Times New Roman" w:cs="David" w:hint="cs"/>
          <w:sz w:val="24"/>
          <w:szCs w:val="24"/>
          <w:rtl/>
        </w:rPr>
        <w:t>זקוקים לטיפול</w:t>
      </w:r>
      <w:r>
        <w:rPr>
          <w:rFonts w:eastAsia="Times New Roman" w:cs="David" w:hint="cs"/>
          <w:sz w:val="24"/>
          <w:szCs w:val="24"/>
          <w:rtl/>
        </w:rPr>
        <w:t xml:space="preserve"> </w:t>
      </w:r>
      <w:proofErr w:type="spellStart"/>
      <w:r>
        <w:rPr>
          <w:rFonts w:eastAsia="Times New Roman" w:cs="David" w:hint="cs"/>
          <w:sz w:val="24"/>
          <w:szCs w:val="24"/>
          <w:rtl/>
        </w:rPr>
        <w:t>פליאטיבי</w:t>
      </w:r>
      <w:proofErr w:type="spellEnd"/>
      <w:r w:rsidRPr="00162B6E">
        <w:rPr>
          <w:rFonts w:eastAsia="Times New Roman" w:cs="David" w:hint="cs"/>
          <w:sz w:val="24"/>
          <w:szCs w:val="24"/>
          <w:rtl/>
        </w:rPr>
        <w:t xml:space="preserve">? </w:t>
      </w:r>
    </w:p>
    <w:p w:rsidR="00B62F50" w:rsidRPr="00162B6E" w:rsidRDefault="00B62F50" w:rsidP="00B62F50">
      <w:pPr>
        <w:pStyle w:val="a7"/>
        <w:numPr>
          <w:ilvl w:val="0"/>
          <w:numId w:val="34"/>
        </w:numPr>
        <w:spacing w:after="0" w:line="312" w:lineRule="auto"/>
        <w:textAlignment w:val="baseline"/>
        <w:rPr>
          <w:rFonts w:eastAsia="Times New Roman" w:cs="David"/>
          <w:sz w:val="24"/>
          <w:szCs w:val="24"/>
          <w:rtl/>
        </w:rPr>
      </w:pPr>
      <w:r w:rsidRPr="00162B6E">
        <w:rPr>
          <w:rFonts w:eastAsia="Times New Roman" w:cs="David" w:hint="cs"/>
          <w:sz w:val="24"/>
          <w:szCs w:val="24"/>
          <w:rtl/>
        </w:rPr>
        <w:t xml:space="preserve">סימפטומים פיזיים, </w:t>
      </w:r>
      <w:r>
        <w:rPr>
          <w:rFonts w:eastAsia="Times New Roman" w:cs="David" w:hint="cs"/>
          <w:sz w:val="24"/>
          <w:szCs w:val="24"/>
          <w:rtl/>
        </w:rPr>
        <w:t xml:space="preserve">תפקודיים </w:t>
      </w:r>
      <w:r w:rsidRPr="00162B6E">
        <w:rPr>
          <w:rFonts w:eastAsia="Times New Roman" w:cs="David" w:hint="cs"/>
          <w:sz w:val="24"/>
          <w:szCs w:val="24"/>
          <w:rtl/>
        </w:rPr>
        <w:t>נפשיים ורוחניים במצבי סוף החיים</w:t>
      </w:r>
    </w:p>
    <w:p w:rsidR="00B62F50" w:rsidRDefault="00B62F50" w:rsidP="00B62F50">
      <w:pPr>
        <w:pStyle w:val="a7"/>
        <w:numPr>
          <w:ilvl w:val="0"/>
          <w:numId w:val="34"/>
        </w:numPr>
        <w:spacing w:after="0" w:line="312" w:lineRule="auto"/>
        <w:textAlignment w:val="baseline"/>
        <w:rPr>
          <w:rFonts w:eastAsia="Times New Roman" w:cs="David"/>
          <w:sz w:val="24"/>
          <w:szCs w:val="24"/>
        </w:rPr>
      </w:pPr>
      <w:r w:rsidRPr="00162B6E">
        <w:rPr>
          <w:rFonts w:eastAsia="Times New Roman" w:cs="David" w:hint="cs"/>
          <w:sz w:val="24"/>
          <w:szCs w:val="24"/>
          <w:rtl/>
        </w:rPr>
        <w:t>הנחיות טיפול מוקדמות</w:t>
      </w:r>
    </w:p>
    <w:p w:rsidR="00B62F50" w:rsidRPr="00162B6E" w:rsidRDefault="00B62F50" w:rsidP="00B62F50">
      <w:pPr>
        <w:pStyle w:val="a7"/>
        <w:numPr>
          <w:ilvl w:val="0"/>
          <w:numId w:val="34"/>
        </w:numPr>
        <w:spacing w:after="0" w:line="312" w:lineRule="auto"/>
        <w:textAlignment w:val="baseline"/>
        <w:rPr>
          <w:rFonts w:eastAsia="Times New Roman" w:cs="David"/>
          <w:sz w:val="24"/>
          <w:szCs w:val="24"/>
          <w:rtl/>
        </w:rPr>
      </w:pPr>
      <w:r w:rsidRPr="00162B6E">
        <w:rPr>
          <w:rFonts w:eastAsia="Times New Roman" w:cs="David" w:hint="cs"/>
          <w:sz w:val="24"/>
          <w:szCs w:val="24"/>
          <w:rtl/>
        </w:rPr>
        <w:t xml:space="preserve">גישת המטופל במרכז </w:t>
      </w:r>
    </w:p>
    <w:p w:rsidR="00B62F50" w:rsidRDefault="00B62F50" w:rsidP="00B62F50">
      <w:pPr>
        <w:pStyle w:val="a7"/>
        <w:numPr>
          <w:ilvl w:val="1"/>
          <w:numId w:val="34"/>
        </w:numPr>
        <w:spacing w:after="0" w:line="312" w:lineRule="auto"/>
        <w:textAlignment w:val="baseline"/>
        <w:rPr>
          <w:rFonts w:eastAsia="Times New Roman" w:cs="David"/>
          <w:sz w:val="24"/>
          <w:szCs w:val="24"/>
        </w:rPr>
      </w:pPr>
      <w:r>
        <w:rPr>
          <w:rFonts w:eastAsia="Times New Roman" w:cs="David" w:hint="cs"/>
          <w:sz w:val="24"/>
          <w:szCs w:val="24"/>
          <w:rtl/>
        </w:rPr>
        <w:t xml:space="preserve">קבלת החלטות על </w:t>
      </w:r>
      <w:r w:rsidRPr="00162B6E">
        <w:rPr>
          <w:rFonts w:eastAsia="Times New Roman" w:cs="David" w:hint="cs"/>
          <w:sz w:val="24"/>
          <w:szCs w:val="24"/>
          <w:rtl/>
        </w:rPr>
        <w:t xml:space="preserve">העדפות טיפול </w:t>
      </w:r>
    </w:p>
    <w:p w:rsidR="00B62F50" w:rsidRDefault="00B62F50" w:rsidP="00B62F50">
      <w:pPr>
        <w:pStyle w:val="a7"/>
        <w:numPr>
          <w:ilvl w:val="1"/>
          <w:numId w:val="34"/>
        </w:numPr>
        <w:spacing w:after="0" w:line="312" w:lineRule="auto"/>
        <w:textAlignment w:val="baseline"/>
        <w:rPr>
          <w:rFonts w:eastAsia="Times New Roman" w:cs="David"/>
          <w:sz w:val="24"/>
          <w:szCs w:val="24"/>
        </w:rPr>
      </w:pPr>
      <w:r>
        <w:rPr>
          <w:rFonts w:eastAsia="Times New Roman" w:cs="David" w:hint="cs"/>
          <w:sz w:val="24"/>
          <w:szCs w:val="24"/>
          <w:rtl/>
        </w:rPr>
        <w:t>מקומם ומעורבותם של בני משפחה בטיפול ובקבלת החלטות</w:t>
      </w:r>
    </w:p>
    <w:p w:rsidR="00B62F50" w:rsidRPr="00162B6E" w:rsidRDefault="00B62F50" w:rsidP="00B62F50">
      <w:pPr>
        <w:pStyle w:val="a7"/>
        <w:numPr>
          <w:ilvl w:val="1"/>
          <w:numId w:val="34"/>
        </w:numPr>
        <w:spacing w:after="0" w:line="312" w:lineRule="auto"/>
        <w:textAlignment w:val="baseline"/>
        <w:rPr>
          <w:rFonts w:eastAsia="Times New Roman" w:cs="David"/>
          <w:sz w:val="24"/>
          <w:szCs w:val="24"/>
          <w:rtl/>
        </w:rPr>
      </w:pPr>
      <w:r w:rsidRPr="00162B6E">
        <w:rPr>
          <w:rFonts w:eastAsia="Times New Roman" w:cs="David" w:hint="cs"/>
          <w:sz w:val="24"/>
          <w:szCs w:val="24"/>
          <w:rtl/>
        </w:rPr>
        <w:t xml:space="preserve">תקשורת פתוחה בין החולה, בני המשפחה וצוות רפואי </w:t>
      </w:r>
    </w:p>
    <w:p w:rsidR="00B62F50" w:rsidRDefault="00B62F50" w:rsidP="00B62F50">
      <w:pPr>
        <w:pStyle w:val="a7"/>
        <w:numPr>
          <w:ilvl w:val="0"/>
          <w:numId w:val="34"/>
        </w:numPr>
        <w:spacing w:after="0" w:line="312" w:lineRule="auto"/>
        <w:textAlignment w:val="baseline"/>
        <w:rPr>
          <w:rFonts w:eastAsia="Times New Roman" w:cs="David"/>
          <w:sz w:val="24"/>
          <w:szCs w:val="24"/>
        </w:rPr>
      </w:pPr>
      <w:r>
        <w:rPr>
          <w:rFonts w:eastAsia="Times New Roman" w:cs="David" w:hint="cs"/>
          <w:sz w:val="24"/>
          <w:szCs w:val="24"/>
          <w:rtl/>
        </w:rPr>
        <w:t xml:space="preserve">מסגרות לטיפול </w:t>
      </w:r>
      <w:proofErr w:type="spellStart"/>
      <w:r>
        <w:rPr>
          <w:rFonts w:eastAsia="Times New Roman" w:cs="David" w:hint="cs"/>
          <w:sz w:val="24"/>
          <w:szCs w:val="24"/>
          <w:rtl/>
        </w:rPr>
        <w:t>פליאטיבי</w:t>
      </w:r>
      <w:proofErr w:type="spellEnd"/>
      <w:r>
        <w:rPr>
          <w:rFonts w:eastAsia="Times New Roman" w:cs="David" w:hint="cs"/>
          <w:sz w:val="24"/>
          <w:szCs w:val="24"/>
          <w:rtl/>
        </w:rPr>
        <w:t xml:space="preserve"> </w:t>
      </w:r>
    </w:p>
    <w:p w:rsidR="00B62F50" w:rsidRPr="00162B6E" w:rsidRDefault="00B62F50" w:rsidP="00B62F50">
      <w:pPr>
        <w:pStyle w:val="a7"/>
        <w:numPr>
          <w:ilvl w:val="0"/>
          <w:numId w:val="34"/>
        </w:numPr>
        <w:spacing w:after="0" w:line="312" w:lineRule="auto"/>
        <w:textAlignment w:val="baseline"/>
        <w:rPr>
          <w:rFonts w:eastAsia="Times New Roman" w:cs="David"/>
          <w:sz w:val="24"/>
          <w:szCs w:val="24"/>
          <w:rtl/>
        </w:rPr>
      </w:pPr>
      <w:r>
        <w:rPr>
          <w:rFonts w:eastAsia="Times New Roman" w:cs="David" w:hint="cs"/>
          <w:sz w:val="24"/>
          <w:szCs w:val="24"/>
          <w:rtl/>
        </w:rPr>
        <w:t>הערכת תוצאות טיפול</w:t>
      </w:r>
    </w:p>
    <w:p w:rsidR="00B62F50" w:rsidRDefault="00B62F50" w:rsidP="00B62F50">
      <w:pPr>
        <w:spacing w:after="0" w:line="312" w:lineRule="auto"/>
        <w:textAlignment w:val="baseline"/>
        <w:rPr>
          <w:rFonts w:ascii="Arial" w:eastAsia="Times New Roman" w:hAnsi="Arial" w:cs="David"/>
          <w:b/>
          <w:bCs/>
          <w:sz w:val="24"/>
          <w:szCs w:val="24"/>
          <w:rtl/>
        </w:rPr>
      </w:pPr>
    </w:p>
    <w:p w:rsidR="00B62F50" w:rsidRPr="00412AF3"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b/>
          <w:bCs/>
          <w:sz w:val="24"/>
          <w:szCs w:val="24"/>
          <w:rtl/>
        </w:rPr>
        <w:t>תוצרי</w:t>
      </w:r>
      <w:r w:rsidRPr="00412AF3">
        <w:rPr>
          <w:rFonts w:eastAsia="Times New Roman" w:cs="David"/>
          <w:b/>
          <w:bCs/>
          <w:sz w:val="24"/>
          <w:szCs w:val="24"/>
          <w:rtl/>
        </w:rPr>
        <w:t xml:space="preserve"> </w:t>
      </w:r>
      <w:r w:rsidRPr="00412AF3">
        <w:rPr>
          <w:rFonts w:ascii="Arial" w:eastAsia="Times New Roman" w:hAnsi="Arial" w:cs="David" w:hint="cs"/>
          <w:b/>
          <w:bCs/>
          <w:sz w:val="24"/>
          <w:szCs w:val="24"/>
          <w:rtl/>
        </w:rPr>
        <w:t>הלמידה</w:t>
      </w:r>
      <w:r w:rsidRPr="00412AF3">
        <w:rPr>
          <w:rFonts w:eastAsia="Times New Roman" w:cs="David"/>
          <w:sz w:val="24"/>
          <w:szCs w:val="24"/>
          <w:rtl/>
        </w:rPr>
        <w:t> </w:t>
      </w:r>
    </w:p>
    <w:p w:rsidR="00B62F50" w:rsidRPr="00412AF3"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sz w:val="24"/>
          <w:szCs w:val="24"/>
          <w:rtl/>
        </w:rPr>
        <w:t>בסיום</w:t>
      </w:r>
      <w:r w:rsidRPr="00412AF3">
        <w:rPr>
          <w:rFonts w:eastAsia="Times New Roman" w:cs="David"/>
          <w:sz w:val="24"/>
          <w:szCs w:val="24"/>
          <w:rtl/>
        </w:rPr>
        <w:t xml:space="preserve"> </w:t>
      </w:r>
      <w:r>
        <w:rPr>
          <w:rFonts w:eastAsia="Times New Roman" w:cs="David" w:hint="cs"/>
          <w:sz w:val="24"/>
          <w:szCs w:val="24"/>
          <w:rtl/>
        </w:rPr>
        <w:t>הקורס</w:t>
      </w:r>
      <w:r w:rsidRPr="00412AF3">
        <w:rPr>
          <w:rFonts w:ascii="Calibri" w:eastAsia="Times New Roman" w:hAnsi="Calibri" w:cs="David" w:hint="cs"/>
          <w:sz w:val="24"/>
          <w:szCs w:val="24"/>
          <w:rtl/>
        </w:rPr>
        <w:t> </w:t>
      </w:r>
      <w:r w:rsidRPr="00412AF3">
        <w:rPr>
          <w:rFonts w:ascii="Arial" w:eastAsia="Times New Roman" w:hAnsi="Arial" w:cs="David" w:hint="cs"/>
          <w:sz w:val="24"/>
          <w:szCs w:val="24"/>
          <w:rtl/>
        </w:rPr>
        <w:t>הסטודנטים</w:t>
      </w:r>
      <w:r w:rsidRPr="00412AF3">
        <w:rPr>
          <w:rFonts w:eastAsia="Times New Roman" w:cs="David"/>
          <w:sz w:val="24"/>
          <w:szCs w:val="24"/>
          <w:rtl/>
        </w:rPr>
        <w:t>:</w:t>
      </w:r>
      <w:r w:rsidRPr="00412AF3">
        <w:rPr>
          <w:rFonts w:ascii="Calibri" w:eastAsia="Times New Roman" w:hAnsi="Calibri" w:cs="David" w:hint="cs"/>
          <w:sz w:val="24"/>
          <w:szCs w:val="24"/>
          <w:rtl/>
        </w:rPr>
        <w:t> </w:t>
      </w:r>
    </w:p>
    <w:p w:rsidR="00B62F50" w:rsidRPr="003B2CF5" w:rsidRDefault="00B62F50" w:rsidP="00B62F50">
      <w:pPr>
        <w:numPr>
          <w:ilvl w:val="0"/>
          <w:numId w:val="33"/>
        </w:numPr>
        <w:spacing w:after="0" w:line="312" w:lineRule="auto"/>
        <w:ind w:left="0"/>
        <w:textAlignment w:val="baseline"/>
        <w:rPr>
          <w:rFonts w:eastAsia="Times New Roman" w:cs="David"/>
          <w:sz w:val="24"/>
          <w:szCs w:val="24"/>
        </w:rPr>
      </w:pPr>
      <w:r w:rsidRPr="00412AF3">
        <w:rPr>
          <w:rFonts w:ascii="Arial" w:eastAsia="Times New Roman" w:hAnsi="Arial" w:cs="David" w:hint="cs"/>
          <w:sz w:val="24"/>
          <w:szCs w:val="24"/>
          <w:rtl/>
        </w:rPr>
        <w:t>יכירו</w:t>
      </w:r>
      <w:r w:rsidRPr="00412AF3">
        <w:rPr>
          <w:rFonts w:eastAsia="Times New Roman" w:cs="David"/>
          <w:sz w:val="24"/>
          <w:szCs w:val="24"/>
          <w:rtl/>
        </w:rPr>
        <w:t xml:space="preserve"> </w:t>
      </w:r>
      <w:r w:rsidRPr="00412AF3">
        <w:rPr>
          <w:rFonts w:ascii="Arial" w:eastAsia="Times New Roman" w:hAnsi="Arial" w:cs="David" w:hint="cs"/>
          <w:sz w:val="24"/>
          <w:szCs w:val="24"/>
          <w:rtl/>
        </w:rPr>
        <w:t>היטב</w:t>
      </w:r>
      <w:r w:rsidRPr="00412AF3">
        <w:rPr>
          <w:rFonts w:eastAsia="Times New Roman" w:cs="David"/>
          <w:sz w:val="24"/>
          <w:szCs w:val="24"/>
          <w:rtl/>
        </w:rPr>
        <w:t xml:space="preserve"> </w:t>
      </w:r>
      <w:r w:rsidRPr="00412AF3">
        <w:rPr>
          <w:rFonts w:ascii="Arial" w:eastAsia="Times New Roman" w:hAnsi="Arial" w:cs="David" w:hint="cs"/>
          <w:sz w:val="24"/>
          <w:szCs w:val="24"/>
          <w:rtl/>
        </w:rPr>
        <w:t>את</w:t>
      </w:r>
      <w:r w:rsidRPr="00412AF3">
        <w:rPr>
          <w:rFonts w:eastAsia="Times New Roman" w:cs="David"/>
          <w:sz w:val="24"/>
          <w:szCs w:val="24"/>
          <w:rtl/>
        </w:rPr>
        <w:t xml:space="preserve"> </w:t>
      </w:r>
      <w:r>
        <w:rPr>
          <w:rFonts w:ascii="Arial" w:eastAsia="Times New Roman" w:hAnsi="Arial" w:cs="David" w:hint="cs"/>
          <w:sz w:val="24"/>
          <w:szCs w:val="24"/>
          <w:rtl/>
        </w:rPr>
        <w:t xml:space="preserve">תפיסת העולם, הגישה ועקרונות הטיפול </w:t>
      </w:r>
      <w:proofErr w:type="spellStart"/>
      <w:r>
        <w:rPr>
          <w:rFonts w:ascii="Arial" w:eastAsia="Times New Roman" w:hAnsi="Arial" w:cs="David" w:hint="cs"/>
          <w:sz w:val="24"/>
          <w:szCs w:val="24"/>
          <w:rtl/>
        </w:rPr>
        <w:t>הפליאטיבי</w:t>
      </w:r>
      <w:proofErr w:type="spellEnd"/>
      <w:r>
        <w:rPr>
          <w:rFonts w:ascii="Arial" w:eastAsia="Times New Roman" w:hAnsi="Arial" w:cs="David" w:hint="cs"/>
          <w:sz w:val="24"/>
          <w:szCs w:val="24"/>
          <w:rtl/>
        </w:rPr>
        <w:t xml:space="preserve"> ויהיו מסוגלים להציגם באופן מקצועי</w:t>
      </w:r>
    </w:p>
    <w:p w:rsidR="00B62F50" w:rsidRDefault="00B62F50" w:rsidP="00B62F50">
      <w:pPr>
        <w:numPr>
          <w:ilvl w:val="0"/>
          <w:numId w:val="33"/>
        </w:numPr>
        <w:spacing w:after="0" w:line="312" w:lineRule="auto"/>
        <w:ind w:left="0"/>
        <w:textAlignment w:val="baseline"/>
        <w:rPr>
          <w:rFonts w:eastAsia="Times New Roman" w:cs="David"/>
          <w:sz w:val="24"/>
          <w:szCs w:val="24"/>
        </w:rPr>
      </w:pPr>
      <w:r>
        <w:rPr>
          <w:rFonts w:ascii="Arial" w:eastAsia="Times New Roman" w:hAnsi="Arial" w:cs="David" w:hint="cs"/>
          <w:sz w:val="24"/>
          <w:szCs w:val="24"/>
          <w:rtl/>
        </w:rPr>
        <w:t xml:space="preserve">יוכלו </w:t>
      </w:r>
      <w:r>
        <w:rPr>
          <w:rFonts w:eastAsia="Times New Roman" w:cs="David" w:hint="cs"/>
          <w:sz w:val="24"/>
          <w:szCs w:val="24"/>
          <w:rtl/>
        </w:rPr>
        <w:t>לדון בשפה מקצועית ומיודעת בסוגיות</w:t>
      </w:r>
      <w:r w:rsidRPr="00412AF3">
        <w:rPr>
          <w:rFonts w:ascii="Calibri" w:eastAsia="Times New Roman" w:hAnsi="Calibri" w:cs="David" w:hint="cs"/>
          <w:sz w:val="24"/>
          <w:szCs w:val="24"/>
          <w:rtl/>
        </w:rPr>
        <w:t> </w:t>
      </w:r>
      <w:r>
        <w:rPr>
          <w:rFonts w:ascii="Calibri" w:eastAsia="Times New Roman" w:hAnsi="Calibri" w:cs="David" w:hint="cs"/>
          <w:sz w:val="24"/>
          <w:szCs w:val="24"/>
          <w:rtl/>
        </w:rPr>
        <w:t>ובאתגרים הכרוכים במתן טיפול ל</w:t>
      </w:r>
      <w:r>
        <w:rPr>
          <w:rFonts w:eastAsia="Times New Roman" w:cs="David" w:hint="cs"/>
          <w:sz w:val="24"/>
          <w:szCs w:val="24"/>
          <w:rtl/>
        </w:rPr>
        <w:t xml:space="preserve">אנשים עם מחלות המאיימות על משך החיים </w:t>
      </w:r>
      <w:r>
        <w:rPr>
          <w:rFonts w:ascii="Arial" w:eastAsia="Times New Roman" w:hAnsi="Arial" w:cs="David" w:hint="cs"/>
          <w:sz w:val="24"/>
          <w:szCs w:val="24"/>
          <w:rtl/>
        </w:rPr>
        <w:t xml:space="preserve">ואנשים במצבי סוף החיים, ולעבוד בצוות </w:t>
      </w:r>
      <w:proofErr w:type="spellStart"/>
      <w:r>
        <w:rPr>
          <w:rFonts w:ascii="Arial" w:eastAsia="Times New Roman" w:hAnsi="Arial" w:cs="David" w:hint="cs"/>
          <w:sz w:val="24"/>
          <w:szCs w:val="24"/>
          <w:rtl/>
        </w:rPr>
        <w:t>פליאטיבי</w:t>
      </w:r>
      <w:proofErr w:type="spellEnd"/>
      <w:r>
        <w:rPr>
          <w:rFonts w:ascii="Arial" w:eastAsia="Times New Roman" w:hAnsi="Arial" w:cs="David" w:hint="cs"/>
          <w:sz w:val="24"/>
          <w:szCs w:val="24"/>
          <w:rtl/>
        </w:rPr>
        <w:t xml:space="preserve"> רב-מקצועי.</w:t>
      </w:r>
    </w:p>
    <w:p w:rsidR="00B62F50" w:rsidRPr="0063677C" w:rsidRDefault="00B62F50" w:rsidP="00B62F50">
      <w:pPr>
        <w:numPr>
          <w:ilvl w:val="0"/>
          <w:numId w:val="33"/>
        </w:numPr>
        <w:spacing w:after="0" w:line="312" w:lineRule="auto"/>
        <w:ind w:left="0"/>
        <w:textAlignment w:val="baseline"/>
        <w:rPr>
          <w:rFonts w:ascii="Arial" w:eastAsia="Times New Roman" w:hAnsi="Arial" w:cs="David"/>
          <w:b/>
          <w:bCs/>
          <w:sz w:val="24"/>
          <w:szCs w:val="24"/>
        </w:rPr>
      </w:pPr>
      <w:r w:rsidRPr="0063677C">
        <w:rPr>
          <w:rFonts w:ascii="Calibri" w:eastAsia="Times New Roman" w:hAnsi="Calibri" w:cs="David" w:hint="cs"/>
          <w:sz w:val="24"/>
          <w:szCs w:val="24"/>
          <w:rtl/>
        </w:rPr>
        <w:t xml:space="preserve">יכירו את המחקרים המרכזיים ופורצי הדרך בתחום </w:t>
      </w:r>
      <w:r>
        <w:rPr>
          <w:rFonts w:ascii="Calibri" w:eastAsia="Times New Roman" w:hAnsi="Calibri" w:cs="David" w:hint="cs"/>
          <w:sz w:val="24"/>
          <w:szCs w:val="24"/>
          <w:rtl/>
        </w:rPr>
        <w:t xml:space="preserve">ויוכלו לעשות בהם שימוש מושכל. </w:t>
      </w:r>
    </w:p>
    <w:p w:rsidR="00B62F50" w:rsidRPr="0063677C" w:rsidRDefault="00B62F50" w:rsidP="00B62F50">
      <w:pPr>
        <w:spacing w:after="0" w:line="312" w:lineRule="auto"/>
        <w:textAlignment w:val="baseline"/>
        <w:rPr>
          <w:rFonts w:ascii="Arial" w:eastAsia="Times New Roman" w:hAnsi="Arial" w:cs="David"/>
          <w:b/>
          <w:bCs/>
          <w:sz w:val="24"/>
          <w:szCs w:val="24"/>
          <w:rtl/>
        </w:rPr>
      </w:pPr>
    </w:p>
    <w:p w:rsidR="00B62F50" w:rsidRDefault="00B62F50" w:rsidP="00B62F50">
      <w:pPr>
        <w:spacing w:after="0" w:line="312" w:lineRule="auto"/>
        <w:textAlignment w:val="baseline"/>
        <w:rPr>
          <w:rFonts w:ascii="Arial" w:eastAsia="Times New Roman" w:hAnsi="Arial" w:cs="David"/>
          <w:b/>
          <w:bCs/>
          <w:sz w:val="24"/>
          <w:szCs w:val="24"/>
          <w:rtl/>
        </w:rPr>
      </w:pPr>
    </w:p>
    <w:p w:rsidR="00B62F50" w:rsidRPr="00412AF3"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b/>
          <w:bCs/>
          <w:sz w:val="24"/>
          <w:szCs w:val="24"/>
          <w:rtl/>
        </w:rPr>
        <w:t>מהלך</w:t>
      </w:r>
      <w:r w:rsidRPr="00412AF3">
        <w:rPr>
          <w:rFonts w:eastAsia="Times New Roman" w:cs="David"/>
          <w:b/>
          <w:bCs/>
          <w:sz w:val="24"/>
          <w:szCs w:val="24"/>
          <w:rtl/>
        </w:rPr>
        <w:t xml:space="preserve"> </w:t>
      </w:r>
      <w:r w:rsidRPr="00412AF3">
        <w:rPr>
          <w:rFonts w:ascii="Arial" w:eastAsia="Times New Roman" w:hAnsi="Arial" w:cs="David" w:hint="cs"/>
          <w:b/>
          <w:bCs/>
          <w:sz w:val="24"/>
          <w:szCs w:val="24"/>
          <w:rtl/>
        </w:rPr>
        <w:t>השיעורים</w:t>
      </w:r>
      <w:r w:rsidRPr="00412AF3">
        <w:rPr>
          <w:rFonts w:eastAsia="Times New Roman" w:cs="David"/>
          <w:sz w:val="24"/>
          <w:szCs w:val="24"/>
          <w:rtl/>
        </w:rPr>
        <w:t> </w:t>
      </w:r>
    </w:p>
    <w:p w:rsidR="00B62F50" w:rsidRDefault="00B62F50" w:rsidP="00B62F50">
      <w:pPr>
        <w:spacing w:after="0" w:line="312" w:lineRule="auto"/>
        <w:textAlignment w:val="baseline"/>
        <w:rPr>
          <w:rFonts w:eastAsia="Times New Roman" w:cs="David"/>
          <w:b/>
          <w:bCs/>
          <w:sz w:val="24"/>
          <w:szCs w:val="24"/>
          <w:rtl/>
        </w:rPr>
      </w:pPr>
      <w:r w:rsidRPr="00412AF3">
        <w:rPr>
          <w:rFonts w:ascii="Arial" w:eastAsia="Times New Roman" w:hAnsi="Arial" w:cs="David" w:hint="cs"/>
          <w:color w:val="000000"/>
          <w:sz w:val="24"/>
          <w:szCs w:val="24"/>
          <w:rtl/>
        </w:rPr>
        <w:lastRenderedPageBreak/>
        <w:t>המפגשים</w:t>
      </w:r>
      <w:r w:rsidRPr="00412AF3">
        <w:rPr>
          <w:rFonts w:ascii="Calibri" w:eastAsia="Times New Roman" w:hAnsi="Calibri" w:cs="David" w:hint="cs"/>
          <w:color w:val="000000"/>
          <w:sz w:val="24"/>
          <w:szCs w:val="24"/>
          <w:rtl/>
        </w:rPr>
        <w:t> </w:t>
      </w:r>
      <w:r w:rsidRPr="00412AF3">
        <w:rPr>
          <w:rFonts w:ascii="Arial" w:eastAsia="Times New Roman" w:hAnsi="Arial" w:cs="David" w:hint="cs"/>
          <w:color w:val="000000"/>
          <w:sz w:val="24"/>
          <w:szCs w:val="24"/>
          <w:rtl/>
        </w:rPr>
        <w:t>יתנהלו</w:t>
      </w:r>
      <w:r w:rsidRPr="00412AF3">
        <w:rPr>
          <w:rFonts w:eastAsia="Times New Roman" w:cs="David"/>
          <w:color w:val="000000"/>
          <w:sz w:val="24"/>
          <w:szCs w:val="24"/>
          <w:rtl/>
        </w:rPr>
        <w:t xml:space="preserve"> </w:t>
      </w:r>
      <w:r w:rsidRPr="00412AF3">
        <w:rPr>
          <w:rFonts w:ascii="Arial" w:eastAsia="Times New Roman" w:hAnsi="Arial" w:cs="David" w:hint="cs"/>
          <w:color w:val="000000"/>
          <w:sz w:val="24"/>
          <w:szCs w:val="24"/>
          <w:rtl/>
        </w:rPr>
        <w:t>במתכונת</w:t>
      </w:r>
      <w:r w:rsidRPr="00412AF3">
        <w:rPr>
          <w:rFonts w:eastAsia="Times New Roman" w:cs="David"/>
          <w:color w:val="000000"/>
          <w:sz w:val="24"/>
          <w:szCs w:val="24"/>
          <w:rtl/>
        </w:rPr>
        <w:t xml:space="preserve"> </w:t>
      </w:r>
      <w:r w:rsidRPr="00412AF3">
        <w:rPr>
          <w:rFonts w:ascii="Arial" w:eastAsia="Times New Roman" w:hAnsi="Arial" w:cs="David" w:hint="cs"/>
          <w:color w:val="000000"/>
          <w:sz w:val="24"/>
          <w:szCs w:val="24"/>
          <w:rtl/>
        </w:rPr>
        <w:t>של</w:t>
      </w:r>
      <w:r w:rsidRPr="00412AF3">
        <w:rPr>
          <w:rFonts w:eastAsia="Times New Roman" w:cs="David"/>
          <w:color w:val="000000"/>
          <w:sz w:val="24"/>
          <w:szCs w:val="24"/>
          <w:rtl/>
        </w:rPr>
        <w:t xml:space="preserve"> </w:t>
      </w:r>
      <w:r>
        <w:rPr>
          <w:rFonts w:eastAsia="Times New Roman" w:cs="David" w:hint="cs"/>
          <w:color w:val="000000"/>
          <w:sz w:val="24"/>
          <w:szCs w:val="24"/>
          <w:rtl/>
        </w:rPr>
        <w:t xml:space="preserve">הרצאה, ודיון במאמרים שייקראו לקראת השיעור. </w:t>
      </w:r>
    </w:p>
    <w:p w:rsidR="00B62F50" w:rsidRPr="00412AF3" w:rsidRDefault="00B62F50" w:rsidP="00B62F50">
      <w:pPr>
        <w:spacing w:after="0" w:line="312" w:lineRule="auto"/>
        <w:textAlignment w:val="baseline"/>
        <w:rPr>
          <w:rFonts w:eastAsia="Times New Roman" w:cs="David"/>
          <w:b/>
          <w:bCs/>
          <w:sz w:val="24"/>
          <w:szCs w:val="24"/>
          <w:rtl/>
        </w:rPr>
      </w:pPr>
    </w:p>
    <w:p w:rsidR="00B62F50" w:rsidRPr="00412AF3"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b/>
          <w:bCs/>
          <w:sz w:val="24"/>
          <w:szCs w:val="24"/>
          <w:rtl/>
        </w:rPr>
        <w:t>דרישות</w:t>
      </w:r>
      <w:r w:rsidRPr="00412AF3">
        <w:rPr>
          <w:rFonts w:eastAsia="Times New Roman" w:cs="David"/>
          <w:b/>
          <w:bCs/>
          <w:sz w:val="24"/>
          <w:szCs w:val="24"/>
          <w:rtl/>
        </w:rPr>
        <w:t xml:space="preserve"> </w:t>
      </w:r>
      <w:r w:rsidRPr="00412AF3">
        <w:rPr>
          <w:rFonts w:ascii="Arial" w:eastAsia="Times New Roman" w:hAnsi="Arial" w:cs="David" w:hint="cs"/>
          <w:b/>
          <w:bCs/>
          <w:sz w:val="24"/>
          <w:szCs w:val="24"/>
          <w:rtl/>
        </w:rPr>
        <w:t>הקורס</w:t>
      </w:r>
      <w:r w:rsidRPr="00412AF3">
        <w:rPr>
          <w:rFonts w:eastAsia="Times New Roman" w:cs="David"/>
          <w:sz w:val="24"/>
          <w:szCs w:val="24"/>
          <w:rtl/>
        </w:rPr>
        <w:t> </w:t>
      </w:r>
    </w:p>
    <w:p w:rsidR="00B62F50"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sz w:val="24"/>
          <w:szCs w:val="24"/>
          <w:rtl/>
        </w:rPr>
        <w:t>נוכחות</w:t>
      </w:r>
      <w:r w:rsidRPr="00412AF3">
        <w:rPr>
          <w:rFonts w:eastAsia="Times New Roman" w:cs="David"/>
          <w:sz w:val="24"/>
          <w:szCs w:val="24"/>
          <w:rtl/>
        </w:rPr>
        <w:t xml:space="preserve"> </w:t>
      </w:r>
      <w:r w:rsidRPr="00412AF3">
        <w:rPr>
          <w:rFonts w:ascii="Arial" w:eastAsia="Times New Roman" w:hAnsi="Arial" w:cs="David" w:hint="cs"/>
          <w:sz w:val="24"/>
          <w:szCs w:val="24"/>
          <w:rtl/>
        </w:rPr>
        <w:t>חובה</w:t>
      </w:r>
      <w:r w:rsidRPr="00412AF3">
        <w:rPr>
          <w:rFonts w:eastAsia="Times New Roman" w:cs="David"/>
          <w:sz w:val="24"/>
          <w:szCs w:val="24"/>
          <w:rtl/>
        </w:rPr>
        <w:t xml:space="preserve">, </w:t>
      </w:r>
      <w:r w:rsidRPr="00412AF3">
        <w:rPr>
          <w:rFonts w:ascii="Arial" w:eastAsia="Times New Roman" w:hAnsi="Arial" w:cs="David" w:hint="cs"/>
          <w:sz w:val="24"/>
          <w:szCs w:val="24"/>
          <w:rtl/>
        </w:rPr>
        <w:t>קריאת</w:t>
      </w:r>
      <w:r w:rsidRPr="00412AF3">
        <w:rPr>
          <w:rFonts w:eastAsia="Times New Roman" w:cs="David"/>
          <w:sz w:val="24"/>
          <w:szCs w:val="24"/>
          <w:rtl/>
        </w:rPr>
        <w:t xml:space="preserve"> </w:t>
      </w:r>
      <w:r w:rsidRPr="00412AF3">
        <w:rPr>
          <w:rFonts w:ascii="Arial" w:eastAsia="Times New Roman" w:hAnsi="Arial" w:cs="David" w:hint="cs"/>
          <w:sz w:val="24"/>
          <w:szCs w:val="24"/>
          <w:rtl/>
        </w:rPr>
        <w:t>מאמרים</w:t>
      </w:r>
      <w:r w:rsidRPr="00412AF3">
        <w:rPr>
          <w:rFonts w:eastAsia="Times New Roman" w:cs="David"/>
          <w:sz w:val="24"/>
          <w:szCs w:val="24"/>
          <w:rtl/>
        </w:rPr>
        <w:t xml:space="preserve"> </w:t>
      </w:r>
      <w:r w:rsidRPr="00412AF3">
        <w:rPr>
          <w:rFonts w:ascii="Arial" w:eastAsia="Times New Roman" w:hAnsi="Arial" w:cs="David" w:hint="cs"/>
          <w:sz w:val="24"/>
          <w:szCs w:val="24"/>
          <w:rtl/>
        </w:rPr>
        <w:t>לפני</w:t>
      </w:r>
      <w:r w:rsidRPr="00412AF3">
        <w:rPr>
          <w:rFonts w:eastAsia="Times New Roman" w:cs="David"/>
          <w:sz w:val="24"/>
          <w:szCs w:val="24"/>
          <w:rtl/>
        </w:rPr>
        <w:t xml:space="preserve"> </w:t>
      </w:r>
      <w:r w:rsidRPr="00412AF3">
        <w:rPr>
          <w:rFonts w:ascii="Arial" w:eastAsia="Times New Roman" w:hAnsi="Arial" w:cs="David" w:hint="cs"/>
          <w:sz w:val="24"/>
          <w:szCs w:val="24"/>
          <w:rtl/>
        </w:rPr>
        <w:t>כל</w:t>
      </w:r>
      <w:r w:rsidRPr="00412AF3">
        <w:rPr>
          <w:rFonts w:eastAsia="Times New Roman" w:cs="David"/>
          <w:sz w:val="24"/>
          <w:szCs w:val="24"/>
          <w:rtl/>
        </w:rPr>
        <w:t xml:space="preserve"> </w:t>
      </w:r>
      <w:r>
        <w:rPr>
          <w:rFonts w:eastAsia="Times New Roman" w:cs="David" w:hint="cs"/>
          <w:sz w:val="24"/>
          <w:szCs w:val="24"/>
          <w:rtl/>
        </w:rPr>
        <w:t xml:space="preserve">שעור, </w:t>
      </w:r>
      <w:r w:rsidRPr="00412AF3">
        <w:rPr>
          <w:rFonts w:ascii="Arial" w:eastAsia="Times New Roman" w:hAnsi="Arial" w:cs="David" w:hint="cs"/>
          <w:sz w:val="24"/>
          <w:szCs w:val="24"/>
          <w:rtl/>
        </w:rPr>
        <w:t>השתתפות</w:t>
      </w:r>
      <w:r w:rsidRPr="00412AF3">
        <w:rPr>
          <w:rFonts w:eastAsia="Times New Roman" w:cs="David"/>
          <w:sz w:val="24"/>
          <w:szCs w:val="24"/>
          <w:rtl/>
        </w:rPr>
        <w:t xml:space="preserve"> </w:t>
      </w:r>
      <w:r w:rsidRPr="00412AF3">
        <w:rPr>
          <w:rFonts w:ascii="Arial" w:eastAsia="Times New Roman" w:hAnsi="Arial" w:cs="David" w:hint="cs"/>
          <w:sz w:val="24"/>
          <w:szCs w:val="24"/>
          <w:rtl/>
        </w:rPr>
        <w:t>פעילה</w:t>
      </w:r>
      <w:r w:rsidRPr="00412AF3">
        <w:rPr>
          <w:rFonts w:eastAsia="Times New Roman" w:cs="David"/>
          <w:sz w:val="24"/>
          <w:szCs w:val="24"/>
          <w:rtl/>
        </w:rPr>
        <w:t xml:space="preserve"> </w:t>
      </w:r>
      <w:r w:rsidRPr="00412AF3">
        <w:rPr>
          <w:rFonts w:ascii="Arial" w:eastAsia="Times New Roman" w:hAnsi="Arial" w:cs="David" w:hint="cs"/>
          <w:sz w:val="24"/>
          <w:szCs w:val="24"/>
          <w:rtl/>
        </w:rPr>
        <w:t>בדיונים</w:t>
      </w:r>
      <w:r>
        <w:rPr>
          <w:rFonts w:eastAsia="Times New Roman" w:cs="David" w:hint="cs"/>
          <w:sz w:val="24"/>
          <w:szCs w:val="24"/>
          <w:rtl/>
        </w:rPr>
        <w:t xml:space="preserve">, וכתיבת עבודת גמר. </w:t>
      </w:r>
    </w:p>
    <w:p w:rsidR="00B62F50" w:rsidRPr="00412AF3" w:rsidRDefault="00B62F50" w:rsidP="00B62F50">
      <w:pPr>
        <w:spacing w:after="0" w:line="312" w:lineRule="auto"/>
        <w:textAlignment w:val="baseline"/>
        <w:rPr>
          <w:rFonts w:eastAsia="Times New Roman" w:cs="David"/>
          <w:sz w:val="24"/>
          <w:szCs w:val="24"/>
          <w:rtl/>
        </w:rPr>
      </w:pPr>
      <w:r w:rsidRPr="00412AF3">
        <w:rPr>
          <w:rFonts w:eastAsia="Times New Roman" w:cs="David"/>
          <w:sz w:val="24"/>
          <w:szCs w:val="24"/>
          <w:rtl/>
        </w:rPr>
        <w:t> </w:t>
      </w:r>
    </w:p>
    <w:p w:rsidR="00B62F50" w:rsidRPr="00412AF3" w:rsidRDefault="00B62F50" w:rsidP="00B62F50">
      <w:pPr>
        <w:spacing w:after="0" w:line="312" w:lineRule="auto"/>
        <w:textAlignment w:val="baseline"/>
        <w:rPr>
          <w:rFonts w:eastAsia="Times New Roman" w:cs="David"/>
          <w:sz w:val="24"/>
          <w:szCs w:val="24"/>
          <w:rtl/>
        </w:rPr>
      </w:pPr>
      <w:r w:rsidRPr="00412AF3">
        <w:rPr>
          <w:rFonts w:ascii="Arial" w:eastAsia="Times New Roman" w:hAnsi="Arial" w:cs="David" w:hint="cs"/>
          <w:b/>
          <w:bCs/>
          <w:sz w:val="24"/>
          <w:szCs w:val="24"/>
          <w:rtl/>
        </w:rPr>
        <w:t>הרכב</w:t>
      </w:r>
      <w:r w:rsidRPr="00412AF3">
        <w:rPr>
          <w:rFonts w:eastAsia="Times New Roman" w:cs="David"/>
          <w:b/>
          <w:bCs/>
          <w:sz w:val="24"/>
          <w:szCs w:val="24"/>
          <w:rtl/>
        </w:rPr>
        <w:t xml:space="preserve"> </w:t>
      </w:r>
      <w:r w:rsidRPr="00412AF3">
        <w:rPr>
          <w:rFonts w:ascii="Arial" w:eastAsia="Times New Roman" w:hAnsi="Arial" w:cs="David" w:hint="cs"/>
          <w:b/>
          <w:bCs/>
          <w:sz w:val="24"/>
          <w:szCs w:val="24"/>
          <w:rtl/>
        </w:rPr>
        <w:t>הציון</w:t>
      </w:r>
      <w:r w:rsidRPr="00412AF3">
        <w:rPr>
          <w:rFonts w:ascii="Calibri" w:eastAsia="Times New Roman" w:hAnsi="Calibri" w:cs="David" w:hint="cs"/>
          <w:b/>
          <w:bCs/>
          <w:sz w:val="24"/>
          <w:szCs w:val="24"/>
          <w:rtl/>
        </w:rPr>
        <w:t> </w:t>
      </w:r>
      <w:r w:rsidRPr="00412AF3">
        <w:rPr>
          <w:rFonts w:ascii="Arial" w:eastAsia="Times New Roman" w:hAnsi="Arial" w:cs="David" w:hint="cs"/>
          <w:b/>
          <w:bCs/>
          <w:sz w:val="24"/>
          <w:szCs w:val="24"/>
          <w:rtl/>
        </w:rPr>
        <w:t>סמסטר</w:t>
      </w:r>
      <w:r w:rsidRPr="00412AF3">
        <w:rPr>
          <w:rFonts w:eastAsia="Times New Roman" w:cs="David"/>
          <w:b/>
          <w:bCs/>
          <w:sz w:val="24"/>
          <w:szCs w:val="24"/>
          <w:rtl/>
        </w:rPr>
        <w:t xml:space="preserve"> </w:t>
      </w:r>
      <w:r w:rsidRPr="00412AF3">
        <w:rPr>
          <w:rFonts w:ascii="Arial" w:eastAsia="Times New Roman" w:hAnsi="Arial" w:cs="David" w:hint="cs"/>
          <w:b/>
          <w:bCs/>
          <w:sz w:val="24"/>
          <w:szCs w:val="24"/>
          <w:rtl/>
        </w:rPr>
        <w:t>א</w:t>
      </w:r>
      <w:r w:rsidRPr="00412AF3">
        <w:rPr>
          <w:rFonts w:eastAsia="Times New Roman" w:cs="David"/>
          <w:b/>
          <w:bCs/>
          <w:sz w:val="24"/>
          <w:szCs w:val="24"/>
          <w:rtl/>
        </w:rPr>
        <w:t>'</w:t>
      </w:r>
      <w:r w:rsidRPr="00412AF3">
        <w:rPr>
          <w:rFonts w:eastAsia="Times New Roman" w:cs="David"/>
          <w:sz w:val="24"/>
          <w:szCs w:val="24"/>
          <w:rtl/>
        </w:rPr>
        <w:t> </w:t>
      </w:r>
    </w:p>
    <w:p w:rsidR="00B62F50" w:rsidRPr="00AD0CB6" w:rsidRDefault="00B62F50" w:rsidP="00B62F50">
      <w:pPr>
        <w:spacing w:after="0" w:line="312" w:lineRule="auto"/>
        <w:textAlignment w:val="baseline"/>
        <w:rPr>
          <w:rFonts w:ascii="David" w:eastAsia="Times New Roman" w:hAnsi="David" w:cs="David"/>
          <w:sz w:val="24"/>
          <w:szCs w:val="24"/>
          <w:rtl/>
        </w:rPr>
      </w:pPr>
      <w:r w:rsidRPr="00AD0CB6">
        <w:rPr>
          <w:rFonts w:ascii="David" w:eastAsia="Times New Roman" w:hAnsi="David" w:cs="David"/>
          <w:sz w:val="24"/>
          <w:szCs w:val="24"/>
          <w:rtl/>
        </w:rPr>
        <w:t>מעורבות בדיוני השיעור – 10% </w:t>
      </w:r>
    </w:p>
    <w:p w:rsidR="00B62F50" w:rsidRPr="00AD0CB6" w:rsidRDefault="00B62F50" w:rsidP="00B62F50">
      <w:pPr>
        <w:spacing w:after="0" w:line="312" w:lineRule="auto"/>
        <w:rPr>
          <w:rFonts w:ascii="David" w:hAnsi="David" w:cs="David"/>
          <w:sz w:val="24"/>
          <w:szCs w:val="24"/>
          <w:rtl/>
        </w:rPr>
      </w:pPr>
      <w:r>
        <w:rPr>
          <w:rFonts w:ascii="David" w:hAnsi="David" w:cs="David" w:hint="cs"/>
          <w:sz w:val="24"/>
          <w:szCs w:val="24"/>
          <w:rtl/>
        </w:rPr>
        <w:t>עבודת גמר</w:t>
      </w:r>
      <w:r w:rsidRPr="00AD0CB6">
        <w:rPr>
          <w:rFonts w:ascii="David" w:hAnsi="David" w:cs="David"/>
          <w:sz w:val="24"/>
          <w:szCs w:val="24"/>
          <w:rtl/>
        </w:rPr>
        <w:t xml:space="preserve"> – 90%</w:t>
      </w:r>
    </w:p>
    <w:p w:rsidR="00B62F50" w:rsidRDefault="00B62F50" w:rsidP="00B62F50">
      <w:pPr>
        <w:spacing w:after="0" w:line="312" w:lineRule="auto"/>
        <w:rPr>
          <w:rtl/>
        </w:rPr>
      </w:pPr>
    </w:p>
    <w:p w:rsidR="00B62F50" w:rsidRDefault="00B62F50" w:rsidP="00B62F50">
      <w:pPr>
        <w:spacing w:after="0" w:line="312" w:lineRule="auto"/>
        <w:rPr>
          <w:rFonts w:cs="David"/>
          <w:b/>
          <w:bCs/>
          <w:sz w:val="24"/>
          <w:szCs w:val="24"/>
          <w:rtl/>
        </w:rPr>
      </w:pPr>
      <w:r>
        <w:rPr>
          <w:rFonts w:cs="David" w:hint="cs"/>
          <w:b/>
          <w:bCs/>
          <w:sz w:val="24"/>
          <w:szCs w:val="24"/>
          <w:rtl/>
        </w:rPr>
        <w:t>מאמרי</w:t>
      </w:r>
      <w:r>
        <w:rPr>
          <w:rFonts w:cs="David"/>
          <w:b/>
          <w:bCs/>
          <w:sz w:val="24"/>
          <w:szCs w:val="24"/>
        </w:rPr>
        <w:t xml:space="preserve"> </w:t>
      </w:r>
      <w:r>
        <w:rPr>
          <w:rFonts w:cs="David" w:hint="cs"/>
          <w:b/>
          <w:bCs/>
          <w:sz w:val="24"/>
          <w:szCs w:val="24"/>
          <w:rtl/>
        </w:rPr>
        <w:t xml:space="preserve">חובה  </w:t>
      </w:r>
    </w:p>
    <w:p w:rsidR="00B62F50" w:rsidRDefault="00B62F50" w:rsidP="00B62F50">
      <w:pPr>
        <w:spacing w:after="0" w:line="312" w:lineRule="auto"/>
        <w:rPr>
          <w:rFonts w:cs="David"/>
          <w:sz w:val="24"/>
          <w:szCs w:val="24"/>
        </w:rPr>
      </w:pPr>
      <w:r w:rsidRPr="007006BA">
        <w:rPr>
          <w:rFonts w:cs="David" w:hint="cs"/>
          <w:sz w:val="24"/>
          <w:szCs w:val="24"/>
          <w:rtl/>
        </w:rPr>
        <w:t>הער</w:t>
      </w:r>
      <w:r>
        <w:rPr>
          <w:rFonts w:cs="David" w:hint="cs"/>
          <w:sz w:val="24"/>
          <w:szCs w:val="24"/>
          <w:rtl/>
        </w:rPr>
        <w:t xml:space="preserve">ה: </w:t>
      </w:r>
      <w:r w:rsidRPr="007006BA">
        <w:rPr>
          <w:rFonts w:cs="David" w:hint="cs"/>
          <w:sz w:val="24"/>
          <w:szCs w:val="24"/>
          <w:rtl/>
        </w:rPr>
        <w:t xml:space="preserve">חלק מהמאמרים "ישנים" יחסית, אך </w:t>
      </w:r>
      <w:r>
        <w:rPr>
          <w:rFonts w:cs="David" w:hint="cs"/>
          <w:sz w:val="24"/>
          <w:szCs w:val="24"/>
          <w:rtl/>
        </w:rPr>
        <w:t>חשובים ל</w:t>
      </w:r>
      <w:r w:rsidRPr="007006BA">
        <w:rPr>
          <w:rFonts w:cs="David" w:hint="cs"/>
          <w:sz w:val="24"/>
          <w:szCs w:val="24"/>
          <w:rtl/>
        </w:rPr>
        <w:t xml:space="preserve">הבנת </w:t>
      </w:r>
      <w:r>
        <w:rPr>
          <w:rFonts w:cs="David" w:hint="cs"/>
          <w:sz w:val="24"/>
          <w:szCs w:val="24"/>
          <w:rtl/>
        </w:rPr>
        <w:t>ה</w:t>
      </w:r>
      <w:r w:rsidRPr="007006BA">
        <w:rPr>
          <w:rFonts w:cs="David" w:hint="cs"/>
          <w:sz w:val="24"/>
          <w:szCs w:val="24"/>
          <w:rtl/>
        </w:rPr>
        <w:t xml:space="preserve">התפתחות </w:t>
      </w:r>
      <w:r>
        <w:rPr>
          <w:rFonts w:cs="David" w:hint="cs"/>
          <w:sz w:val="24"/>
          <w:szCs w:val="24"/>
          <w:rtl/>
        </w:rPr>
        <w:t xml:space="preserve">של </w:t>
      </w:r>
      <w:r w:rsidRPr="007006BA">
        <w:rPr>
          <w:rFonts w:cs="David" w:hint="cs"/>
          <w:sz w:val="24"/>
          <w:szCs w:val="24"/>
          <w:rtl/>
        </w:rPr>
        <w:t xml:space="preserve">השירותים </w:t>
      </w:r>
      <w:proofErr w:type="spellStart"/>
      <w:r w:rsidRPr="007006BA">
        <w:rPr>
          <w:rFonts w:cs="David" w:hint="cs"/>
          <w:sz w:val="24"/>
          <w:szCs w:val="24"/>
          <w:rtl/>
        </w:rPr>
        <w:t>הפליאטיביים</w:t>
      </w:r>
      <w:proofErr w:type="spellEnd"/>
      <w:r>
        <w:rPr>
          <w:rFonts w:cs="David" w:hint="cs"/>
          <w:sz w:val="24"/>
          <w:szCs w:val="24"/>
          <w:rtl/>
        </w:rPr>
        <w:t xml:space="preserve"> והספקתם במדינות מפותחות ובישראל.</w:t>
      </w:r>
    </w:p>
    <w:p w:rsidR="00B62F50" w:rsidRDefault="00B62F50" w:rsidP="00B62F50">
      <w:pPr>
        <w:spacing w:after="0" w:line="312" w:lineRule="auto"/>
        <w:rPr>
          <w:rFonts w:cs="David"/>
          <w:sz w:val="24"/>
          <w:szCs w:val="24"/>
          <w:rtl/>
        </w:rPr>
      </w:pPr>
    </w:p>
    <w:p w:rsidR="00B62F50" w:rsidRPr="00E852BB" w:rsidRDefault="00B62F50" w:rsidP="00B62F50">
      <w:pPr>
        <w:spacing w:after="120" w:line="240" w:lineRule="auto"/>
        <w:ind w:left="425" w:hanging="425"/>
        <w:rPr>
          <w:rFonts w:ascii="David" w:eastAsia="Times New Roman" w:hAnsi="David" w:cs="David"/>
          <w:sz w:val="24"/>
          <w:szCs w:val="24"/>
        </w:rPr>
      </w:pPr>
      <w:r w:rsidRPr="00E852BB">
        <w:rPr>
          <w:rFonts w:ascii="David" w:eastAsia="Times New Roman" w:hAnsi="David" w:cs="David"/>
          <w:sz w:val="24"/>
          <w:szCs w:val="24"/>
        </w:rPr>
        <w:t xml:space="preserve">Centeno, C., Lynch, T., </w:t>
      </w:r>
      <w:proofErr w:type="spellStart"/>
      <w:r w:rsidRPr="00E852BB">
        <w:rPr>
          <w:rFonts w:ascii="David" w:eastAsia="Times New Roman" w:hAnsi="David" w:cs="David"/>
          <w:sz w:val="24"/>
          <w:szCs w:val="24"/>
        </w:rPr>
        <w:t>Garralda</w:t>
      </w:r>
      <w:proofErr w:type="spellEnd"/>
      <w:r w:rsidRPr="00E852BB">
        <w:rPr>
          <w:rFonts w:ascii="David" w:eastAsia="Times New Roman" w:hAnsi="David" w:cs="David"/>
          <w:sz w:val="24"/>
          <w:szCs w:val="24"/>
        </w:rPr>
        <w:t>, E., Carrasco, J. M., Guillen-</w:t>
      </w:r>
      <w:proofErr w:type="spellStart"/>
      <w:r w:rsidRPr="00E852BB">
        <w:rPr>
          <w:rFonts w:ascii="David" w:eastAsia="Times New Roman" w:hAnsi="David" w:cs="David"/>
          <w:sz w:val="24"/>
          <w:szCs w:val="24"/>
        </w:rPr>
        <w:t>Grima</w:t>
      </w:r>
      <w:proofErr w:type="spellEnd"/>
      <w:r w:rsidRPr="00E852BB">
        <w:rPr>
          <w:rFonts w:ascii="David" w:eastAsia="Times New Roman" w:hAnsi="David" w:cs="David"/>
          <w:sz w:val="24"/>
          <w:szCs w:val="24"/>
        </w:rPr>
        <w:t xml:space="preserve">, F., &amp; Clark, D. (2016). Coverage and development of specialist palliative care services across the World Health Organization European Region (2005–2012): Results from a European Association for Palliative Care Task Force survey of 53 Countries. </w:t>
      </w:r>
      <w:r w:rsidRPr="00E852BB">
        <w:rPr>
          <w:rFonts w:ascii="David" w:eastAsia="Times New Roman" w:hAnsi="David" w:cs="David"/>
          <w:i/>
          <w:iCs/>
          <w:sz w:val="24"/>
          <w:szCs w:val="24"/>
        </w:rPr>
        <w:t>Palliative medicine</w:t>
      </w:r>
      <w:r w:rsidRPr="00E852BB">
        <w:rPr>
          <w:rFonts w:ascii="David" w:eastAsia="Times New Roman" w:hAnsi="David" w:cs="David"/>
          <w:sz w:val="24"/>
          <w:szCs w:val="24"/>
        </w:rPr>
        <w:t xml:space="preserve">, </w:t>
      </w:r>
      <w:r w:rsidRPr="00E852BB">
        <w:rPr>
          <w:rFonts w:ascii="David" w:eastAsia="Times New Roman" w:hAnsi="David" w:cs="David"/>
          <w:i/>
          <w:iCs/>
          <w:sz w:val="24"/>
          <w:szCs w:val="24"/>
        </w:rPr>
        <w:t>30</w:t>
      </w:r>
      <w:r w:rsidRPr="00E852BB">
        <w:rPr>
          <w:rFonts w:ascii="David" w:eastAsia="Times New Roman" w:hAnsi="David" w:cs="David"/>
          <w:sz w:val="24"/>
          <w:szCs w:val="24"/>
        </w:rPr>
        <w:t>(4), 351-</w:t>
      </w:r>
      <w:proofErr w:type="gramStart"/>
      <w:r w:rsidRPr="00E852BB">
        <w:rPr>
          <w:rFonts w:ascii="David" w:eastAsia="Times New Roman" w:hAnsi="David" w:cs="David"/>
          <w:sz w:val="24"/>
          <w:szCs w:val="24"/>
        </w:rPr>
        <w:t>362.</w:t>
      </w:r>
      <w:r w:rsidRPr="00E852BB">
        <w:rPr>
          <w:rFonts w:ascii="David" w:eastAsia="Times New Roman" w:hAnsi="David" w:cs="David"/>
          <w:sz w:val="24"/>
          <w:szCs w:val="24"/>
          <w:rtl/>
        </w:rPr>
        <w:t>‏</w:t>
      </w:r>
      <w:proofErr w:type="gramEnd"/>
    </w:p>
    <w:p w:rsidR="00B62F50" w:rsidRPr="00E852BB" w:rsidRDefault="00B62F50" w:rsidP="00B62F50">
      <w:pPr>
        <w:spacing w:after="120" w:line="240" w:lineRule="auto"/>
        <w:ind w:left="425" w:hanging="425"/>
        <w:rPr>
          <w:rFonts w:ascii="David" w:eastAsia="Times New Roman" w:hAnsi="David" w:cs="David"/>
          <w:sz w:val="24"/>
          <w:szCs w:val="24"/>
          <w:rtl/>
        </w:rPr>
      </w:pPr>
      <w:r w:rsidRPr="00E852BB">
        <w:rPr>
          <w:rFonts w:ascii="David" w:hAnsi="David" w:cs="David"/>
          <w:color w:val="222222"/>
          <w:sz w:val="24"/>
          <w:szCs w:val="24"/>
        </w:rPr>
        <w:t xml:space="preserve">Frost, M. (2001). The role of physical, occupational, and speech therapy in hospice: Patient empowerment. </w:t>
      </w:r>
      <w:r w:rsidRPr="00E852BB">
        <w:rPr>
          <w:rFonts w:ascii="David" w:hAnsi="David" w:cs="David"/>
          <w:i/>
          <w:iCs/>
          <w:color w:val="222222"/>
          <w:sz w:val="24"/>
          <w:szCs w:val="24"/>
        </w:rPr>
        <w:t>American Journal of Hospice and Palliative Medicine®</w:t>
      </w:r>
      <w:r w:rsidRPr="00E852BB">
        <w:rPr>
          <w:rFonts w:ascii="David" w:hAnsi="David" w:cs="David"/>
          <w:color w:val="222222"/>
          <w:sz w:val="24"/>
          <w:szCs w:val="24"/>
        </w:rPr>
        <w:t xml:space="preserve">, </w:t>
      </w:r>
      <w:r w:rsidRPr="00E852BB">
        <w:rPr>
          <w:rFonts w:ascii="David" w:hAnsi="David" w:cs="David"/>
          <w:i/>
          <w:iCs/>
          <w:color w:val="222222"/>
          <w:sz w:val="24"/>
          <w:szCs w:val="24"/>
        </w:rPr>
        <w:t>18</w:t>
      </w:r>
      <w:r w:rsidRPr="00E852BB">
        <w:rPr>
          <w:rFonts w:ascii="David" w:hAnsi="David" w:cs="David"/>
          <w:color w:val="222222"/>
          <w:sz w:val="24"/>
          <w:szCs w:val="24"/>
        </w:rPr>
        <w:t>(6), 397-402.</w:t>
      </w:r>
    </w:p>
    <w:p w:rsidR="00B62F50" w:rsidRPr="00E852BB" w:rsidRDefault="00B62F50" w:rsidP="00B62F50">
      <w:pPr>
        <w:spacing w:after="120" w:line="240" w:lineRule="auto"/>
        <w:ind w:left="425" w:hanging="425"/>
        <w:rPr>
          <w:rFonts w:ascii="David" w:hAnsi="David" w:cs="David"/>
          <w:sz w:val="24"/>
          <w:szCs w:val="24"/>
        </w:rPr>
      </w:pPr>
      <w:r w:rsidRPr="00E852BB">
        <w:rPr>
          <w:rFonts w:ascii="David" w:hAnsi="David" w:cs="David"/>
          <w:sz w:val="24"/>
          <w:szCs w:val="24"/>
        </w:rPr>
        <w:t xml:space="preserve">Hawkins, N. A., Ditto, P. H., </w:t>
      </w:r>
      <w:proofErr w:type="spellStart"/>
      <w:r w:rsidRPr="00E852BB">
        <w:rPr>
          <w:rFonts w:ascii="David" w:hAnsi="David" w:cs="David"/>
          <w:sz w:val="24"/>
          <w:szCs w:val="24"/>
        </w:rPr>
        <w:t>Danks</w:t>
      </w:r>
      <w:proofErr w:type="spellEnd"/>
      <w:r w:rsidRPr="00E852BB">
        <w:rPr>
          <w:rFonts w:ascii="David" w:hAnsi="David" w:cs="David"/>
          <w:sz w:val="24"/>
          <w:szCs w:val="24"/>
        </w:rPr>
        <w:t xml:space="preserve">, J. H., &amp; Smucker, W. D. (2005). Micromanaging death: process preferences, values, and goals in end-of-life medical decision making. </w:t>
      </w:r>
      <w:r w:rsidRPr="00E852BB">
        <w:rPr>
          <w:rFonts w:ascii="David" w:hAnsi="David" w:cs="David"/>
          <w:i/>
          <w:iCs/>
          <w:sz w:val="24"/>
          <w:szCs w:val="24"/>
        </w:rPr>
        <w:t>The Gerontologist</w:t>
      </w:r>
      <w:r w:rsidRPr="00E852BB">
        <w:rPr>
          <w:rFonts w:ascii="David" w:hAnsi="David" w:cs="David"/>
          <w:sz w:val="24"/>
          <w:szCs w:val="24"/>
        </w:rPr>
        <w:t xml:space="preserve">, </w:t>
      </w:r>
      <w:r w:rsidRPr="00E852BB">
        <w:rPr>
          <w:rFonts w:ascii="David" w:hAnsi="David" w:cs="David"/>
          <w:i/>
          <w:iCs/>
          <w:sz w:val="24"/>
          <w:szCs w:val="24"/>
        </w:rPr>
        <w:t>45</w:t>
      </w:r>
      <w:r w:rsidRPr="00E852BB">
        <w:rPr>
          <w:rFonts w:ascii="David" w:hAnsi="David" w:cs="David"/>
          <w:sz w:val="24"/>
          <w:szCs w:val="24"/>
        </w:rPr>
        <w:t>(1), 107-</w:t>
      </w:r>
      <w:proofErr w:type="gramStart"/>
      <w:r w:rsidRPr="00E852BB">
        <w:rPr>
          <w:rFonts w:ascii="David" w:hAnsi="David" w:cs="David"/>
          <w:sz w:val="24"/>
          <w:szCs w:val="24"/>
        </w:rPr>
        <w:t>117.</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rPr>
          <w:rFonts w:ascii="David" w:hAnsi="David" w:cs="David"/>
          <w:sz w:val="24"/>
          <w:szCs w:val="24"/>
        </w:rPr>
      </w:pPr>
      <w:proofErr w:type="spellStart"/>
      <w:r w:rsidRPr="00E852BB">
        <w:rPr>
          <w:rFonts w:ascii="David" w:hAnsi="David" w:cs="David"/>
          <w:sz w:val="24"/>
          <w:szCs w:val="24"/>
        </w:rPr>
        <w:t>Lunney</w:t>
      </w:r>
      <w:proofErr w:type="spellEnd"/>
      <w:r w:rsidRPr="00E852BB">
        <w:rPr>
          <w:rFonts w:ascii="David" w:hAnsi="David" w:cs="David"/>
          <w:sz w:val="24"/>
          <w:szCs w:val="24"/>
        </w:rPr>
        <w:t xml:space="preserve">, J. R., Lynn, J., Foley, D. J., Lipson, S., &amp; </w:t>
      </w:r>
      <w:proofErr w:type="spellStart"/>
      <w:r w:rsidRPr="00E852BB">
        <w:rPr>
          <w:rFonts w:ascii="David" w:hAnsi="David" w:cs="David"/>
          <w:sz w:val="24"/>
          <w:szCs w:val="24"/>
        </w:rPr>
        <w:t>Guralnik</w:t>
      </w:r>
      <w:proofErr w:type="spellEnd"/>
      <w:r w:rsidRPr="00E852BB">
        <w:rPr>
          <w:rFonts w:ascii="David" w:hAnsi="David" w:cs="David"/>
          <w:sz w:val="24"/>
          <w:szCs w:val="24"/>
        </w:rPr>
        <w:t xml:space="preserve">, J. M. (2003). Patterns of functional decline at the end of life. </w:t>
      </w:r>
      <w:proofErr w:type="spellStart"/>
      <w:r w:rsidRPr="00E852BB">
        <w:rPr>
          <w:rFonts w:ascii="David" w:hAnsi="David" w:cs="David"/>
          <w:i/>
          <w:iCs/>
          <w:sz w:val="24"/>
          <w:szCs w:val="24"/>
        </w:rPr>
        <w:t>Jama</w:t>
      </w:r>
      <w:proofErr w:type="spellEnd"/>
      <w:r w:rsidRPr="00E852BB">
        <w:rPr>
          <w:rFonts w:ascii="David" w:hAnsi="David" w:cs="David"/>
          <w:sz w:val="24"/>
          <w:szCs w:val="24"/>
        </w:rPr>
        <w:t xml:space="preserve">, </w:t>
      </w:r>
      <w:r w:rsidRPr="00E852BB">
        <w:rPr>
          <w:rFonts w:ascii="David" w:hAnsi="David" w:cs="David"/>
          <w:i/>
          <w:iCs/>
          <w:sz w:val="24"/>
          <w:szCs w:val="24"/>
        </w:rPr>
        <w:t>289</w:t>
      </w:r>
      <w:r w:rsidRPr="00E852BB">
        <w:rPr>
          <w:rFonts w:ascii="David" w:hAnsi="David" w:cs="David"/>
          <w:sz w:val="24"/>
          <w:szCs w:val="24"/>
        </w:rPr>
        <w:t>(18), 2387-</w:t>
      </w:r>
      <w:proofErr w:type="gramStart"/>
      <w:r w:rsidRPr="00E852BB">
        <w:rPr>
          <w:rFonts w:ascii="David" w:hAnsi="David" w:cs="David"/>
          <w:sz w:val="24"/>
          <w:szCs w:val="24"/>
        </w:rPr>
        <w:t>2392.</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rPr>
          <w:rFonts w:ascii="David" w:hAnsi="David" w:cs="David"/>
          <w:sz w:val="24"/>
          <w:szCs w:val="24"/>
        </w:rPr>
      </w:pPr>
      <w:r w:rsidRPr="00E852BB">
        <w:rPr>
          <w:rFonts w:ascii="David" w:eastAsia="Times New Roman" w:hAnsi="David" w:cs="David"/>
          <w:sz w:val="24"/>
          <w:szCs w:val="24"/>
        </w:rPr>
        <w:t xml:space="preserve">Lynch, T., Connor, S., &amp; Clark, D. (2013). Mapping levels of palliative care development: a global update. </w:t>
      </w:r>
      <w:r w:rsidRPr="00E852BB">
        <w:rPr>
          <w:rFonts w:ascii="David" w:eastAsia="Times New Roman" w:hAnsi="David" w:cs="David"/>
          <w:i/>
          <w:iCs/>
          <w:sz w:val="24"/>
          <w:szCs w:val="24"/>
        </w:rPr>
        <w:t>Journal of pain and symptom management</w:t>
      </w:r>
      <w:r w:rsidRPr="00E852BB">
        <w:rPr>
          <w:rFonts w:ascii="David" w:eastAsia="Times New Roman" w:hAnsi="David" w:cs="David"/>
          <w:sz w:val="24"/>
          <w:szCs w:val="24"/>
        </w:rPr>
        <w:t xml:space="preserve">, </w:t>
      </w:r>
      <w:r w:rsidRPr="00E852BB">
        <w:rPr>
          <w:rFonts w:ascii="David" w:eastAsia="Times New Roman" w:hAnsi="David" w:cs="David"/>
          <w:i/>
          <w:iCs/>
          <w:sz w:val="24"/>
          <w:szCs w:val="24"/>
        </w:rPr>
        <w:t>45</w:t>
      </w:r>
      <w:r w:rsidRPr="00E852BB">
        <w:rPr>
          <w:rFonts w:ascii="David" w:eastAsia="Times New Roman" w:hAnsi="David" w:cs="David"/>
          <w:sz w:val="24"/>
          <w:szCs w:val="24"/>
        </w:rPr>
        <w:t>(6), 1094-1106.</w:t>
      </w:r>
    </w:p>
    <w:p w:rsidR="00B62F50" w:rsidRPr="00E852BB" w:rsidRDefault="00B62F50" w:rsidP="00B62F50">
      <w:pPr>
        <w:spacing w:after="120" w:line="240" w:lineRule="auto"/>
        <w:ind w:left="425" w:hanging="425"/>
        <w:rPr>
          <w:rFonts w:ascii="David" w:hAnsi="David" w:cs="David"/>
          <w:sz w:val="24"/>
          <w:szCs w:val="24"/>
        </w:rPr>
      </w:pPr>
      <w:r w:rsidRPr="00E852BB">
        <w:rPr>
          <w:rFonts w:ascii="David" w:hAnsi="David" w:cs="David"/>
          <w:sz w:val="24"/>
          <w:szCs w:val="24"/>
        </w:rPr>
        <w:t xml:space="preserve">Murray, S. A., Kendall, M., Boyd, K., &amp; Sheikh, A. (2005). Illness trajectories and palliative care. </w:t>
      </w:r>
      <w:r w:rsidRPr="00E852BB">
        <w:rPr>
          <w:rFonts w:ascii="David" w:hAnsi="David" w:cs="David"/>
          <w:i/>
          <w:iCs/>
          <w:sz w:val="24"/>
          <w:szCs w:val="24"/>
        </w:rPr>
        <w:t>BMJ: British Medical Journal</w:t>
      </w:r>
      <w:r w:rsidRPr="00E852BB">
        <w:rPr>
          <w:rFonts w:ascii="David" w:hAnsi="David" w:cs="David"/>
          <w:sz w:val="24"/>
          <w:szCs w:val="24"/>
        </w:rPr>
        <w:t xml:space="preserve">, </w:t>
      </w:r>
      <w:r w:rsidRPr="00E852BB">
        <w:rPr>
          <w:rFonts w:ascii="David" w:hAnsi="David" w:cs="David"/>
          <w:i/>
          <w:iCs/>
          <w:sz w:val="24"/>
          <w:szCs w:val="24"/>
        </w:rPr>
        <w:t>330</w:t>
      </w:r>
      <w:r w:rsidRPr="00E852BB">
        <w:rPr>
          <w:rFonts w:ascii="David" w:hAnsi="David" w:cs="David"/>
          <w:sz w:val="24"/>
          <w:szCs w:val="24"/>
        </w:rPr>
        <w:t xml:space="preserve">(7498), </w:t>
      </w:r>
      <w:proofErr w:type="gramStart"/>
      <w:r w:rsidRPr="00E852BB">
        <w:rPr>
          <w:rFonts w:ascii="David" w:hAnsi="David" w:cs="David"/>
          <w:sz w:val="24"/>
          <w:szCs w:val="24"/>
        </w:rPr>
        <w:t>1007.</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jc w:val="both"/>
        <w:rPr>
          <w:rFonts w:ascii="David" w:hAnsi="David" w:cs="David"/>
          <w:sz w:val="24"/>
          <w:szCs w:val="24"/>
          <w:rtl/>
        </w:rPr>
      </w:pPr>
      <w:r w:rsidRPr="00E852BB">
        <w:rPr>
          <w:rFonts w:ascii="David" w:hAnsi="David" w:cs="David"/>
          <w:sz w:val="24"/>
          <w:szCs w:val="24"/>
        </w:rPr>
        <w:t xml:space="preserve">Quill, T. E., &amp; Abernethy, A. P. (2013). Generalist plus specialist palliative care—creating a more sustainable model. </w:t>
      </w:r>
      <w:r w:rsidRPr="00E852BB">
        <w:rPr>
          <w:rFonts w:ascii="David" w:hAnsi="David" w:cs="David"/>
          <w:i/>
          <w:iCs/>
          <w:sz w:val="24"/>
          <w:szCs w:val="24"/>
        </w:rPr>
        <w:t>New England Journal of Medicine</w:t>
      </w:r>
      <w:r w:rsidRPr="00E852BB">
        <w:rPr>
          <w:rFonts w:ascii="David" w:hAnsi="David" w:cs="David"/>
          <w:sz w:val="24"/>
          <w:szCs w:val="24"/>
        </w:rPr>
        <w:t xml:space="preserve">, </w:t>
      </w:r>
      <w:r w:rsidRPr="00E852BB">
        <w:rPr>
          <w:rFonts w:ascii="David" w:hAnsi="David" w:cs="David"/>
          <w:i/>
          <w:iCs/>
          <w:sz w:val="24"/>
          <w:szCs w:val="24"/>
        </w:rPr>
        <w:t>368</w:t>
      </w:r>
      <w:r w:rsidRPr="00E852BB">
        <w:rPr>
          <w:rFonts w:ascii="David" w:hAnsi="David" w:cs="David"/>
          <w:sz w:val="24"/>
          <w:szCs w:val="24"/>
        </w:rPr>
        <w:t>(13), 1173-</w:t>
      </w:r>
      <w:proofErr w:type="gramStart"/>
      <w:r w:rsidRPr="00E852BB">
        <w:rPr>
          <w:rFonts w:ascii="David" w:hAnsi="David" w:cs="David"/>
          <w:sz w:val="24"/>
          <w:szCs w:val="24"/>
        </w:rPr>
        <w:t>1175.</w:t>
      </w:r>
      <w:r w:rsidRPr="00E852BB">
        <w:rPr>
          <w:rFonts w:ascii="David" w:hAnsi="David" w:cs="David"/>
          <w:sz w:val="24"/>
          <w:szCs w:val="24"/>
          <w:rtl/>
        </w:rPr>
        <w:t>‏</w:t>
      </w:r>
      <w:proofErr w:type="gramEnd"/>
      <w:r w:rsidRPr="00E852BB">
        <w:rPr>
          <w:rFonts w:ascii="David" w:hAnsi="David" w:cs="David"/>
          <w:sz w:val="24"/>
          <w:szCs w:val="24"/>
        </w:rPr>
        <w:t xml:space="preserve"> </w:t>
      </w:r>
    </w:p>
    <w:p w:rsidR="00B62F50" w:rsidRPr="00E852BB" w:rsidRDefault="00B62F50" w:rsidP="00B62F50">
      <w:pPr>
        <w:spacing w:after="120" w:line="240" w:lineRule="auto"/>
        <w:ind w:left="425" w:hanging="425"/>
        <w:jc w:val="both"/>
        <w:rPr>
          <w:rFonts w:ascii="David" w:hAnsi="David" w:cs="David"/>
          <w:sz w:val="24"/>
          <w:szCs w:val="24"/>
        </w:rPr>
      </w:pPr>
      <w:r w:rsidRPr="00E852BB">
        <w:rPr>
          <w:rFonts w:ascii="David" w:hAnsi="David" w:cs="David"/>
          <w:sz w:val="24"/>
          <w:szCs w:val="24"/>
        </w:rPr>
        <w:t xml:space="preserve">Solano, J. P., Gomes, B., &amp; Higginson, I. J. (2006). A comparison of symptom prevalence in far advanced cancer, AIDS, heart disease, chronic obstructive pulmonary disease and renal disease. </w:t>
      </w:r>
      <w:r w:rsidRPr="00E852BB">
        <w:rPr>
          <w:rFonts w:ascii="David" w:hAnsi="David" w:cs="David"/>
          <w:i/>
          <w:iCs/>
          <w:sz w:val="24"/>
          <w:szCs w:val="24"/>
        </w:rPr>
        <w:t>Journal of pain and symptom management</w:t>
      </w:r>
      <w:r w:rsidRPr="00E852BB">
        <w:rPr>
          <w:rFonts w:ascii="David" w:hAnsi="David" w:cs="David"/>
          <w:sz w:val="24"/>
          <w:szCs w:val="24"/>
        </w:rPr>
        <w:t xml:space="preserve">, </w:t>
      </w:r>
      <w:r w:rsidRPr="00E852BB">
        <w:rPr>
          <w:rFonts w:ascii="David" w:hAnsi="David" w:cs="David"/>
          <w:i/>
          <w:iCs/>
          <w:sz w:val="24"/>
          <w:szCs w:val="24"/>
        </w:rPr>
        <w:t>31</w:t>
      </w:r>
      <w:r w:rsidRPr="00E852BB">
        <w:rPr>
          <w:rFonts w:ascii="David" w:hAnsi="David" w:cs="David"/>
          <w:sz w:val="24"/>
          <w:szCs w:val="24"/>
        </w:rPr>
        <w:t>(1), 58-</w:t>
      </w:r>
      <w:proofErr w:type="gramStart"/>
      <w:r w:rsidRPr="00E852BB">
        <w:rPr>
          <w:rFonts w:ascii="David" w:hAnsi="David" w:cs="David"/>
          <w:sz w:val="24"/>
          <w:szCs w:val="24"/>
        </w:rPr>
        <w:t>69.</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rPr>
          <w:rFonts w:ascii="David" w:hAnsi="David" w:cs="David"/>
          <w:sz w:val="24"/>
          <w:szCs w:val="24"/>
          <w:rtl/>
        </w:rPr>
      </w:pPr>
      <w:r w:rsidRPr="00E852BB">
        <w:rPr>
          <w:rFonts w:ascii="David" w:hAnsi="David" w:cs="David"/>
          <w:sz w:val="24"/>
          <w:szCs w:val="24"/>
        </w:rPr>
        <w:t xml:space="preserve">Sternberg, S., Bentur, N., &amp; </w:t>
      </w:r>
      <w:proofErr w:type="spellStart"/>
      <w:r w:rsidRPr="00E852BB">
        <w:rPr>
          <w:rFonts w:ascii="David" w:hAnsi="David" w:cs="David"/>
          <w:sz w:val="24"/>
          <w:szCs w:val="24"/>
        </w:rPr>
        <w:t>Shuldiner</w:t>
      </w:r>
      <w:proofErr w:type="spellEnd"/>
      <w:r w:rsidRPr="00E852BB">
        <w:rPr>
          <w:rFonts w:ascii="David" w:hAnsi="David" w:cs="David"/>
          <w:sz w:val="24"/>
          <w:szCs w:val="24"/>
        </w:rPr>
        <w:t xml:space="preserve">, J. (2014). Quality of care of older people living with advanced dementia in the community in Israel. </w:t>
      </w:r>
      <w:r w:rsidRPr="00E852BB">
        <w:rPr>
          <w:rFonts w:ascii="David" w:hAnsi="David" w:cs="David"/>
          <w:i/>
          <w:iCs/>
          <w:sz w:val="24"/>
          <w:szCs w:val="24"/>
        </w:rPr>
        <w:t>Journal of the American Geriatrics Society</w:t>
      </w:r>
      <w:r w:rsidRPr="00E852BB">
        <w:rPr>
          <w:rFonts w:ascii="David" w:hAnsi="David" w:cs="David"/>
          <w:sz w:val="24"/>
          <w:szCs w:val="24"/>
        </w:rPr>
        <w:t xml:space="preserve">, </w:t>
      </w:r>
      <w:r w:rsidRPr="00E852BB">
        <w:rPr>
          <w:rFonts w:ascii="David" w:hAnsi="David" w:cs="David"/>
          <w:i/>
          <w:iCs/>
          <w:sz w:val="24"/>
          <w:szCs w:val="24"/>
        </w:rPr>
        <w:t>62</w:t>
      </w:r>
      <w:r w:rsidRPr="00E852BB">
        <w:rPr>
          <w:rFonts w:ascii="David" w:hAnsi="David" w:cs="David"/>
          <w:sz w:val="24"/>
          <w:szCs w:val="24"/>
        </w:rPr>
        <w:t>(2), 269-</w:t>
      </w:r>
      <w:proofErr w:type="gramStart"/>
      <w:r w:rsidRPr="00E852BB">
        <w:rPr>
          <w:rFonts w:ascii="David" w:hAnsi="David" w:cs="David"/>
          <w:sz w:val="24"/>
          <w:szCs w:val="24"/>
        </w:rPr>
        <w:t>275.</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rPr>
          <w:rFonts w:ascii="David" w:hAnsi="David" w:cs="David"/>
          <w:sz w:val="24"/>
          <w:szCs w:val="24"/>
        </w:rPr>
      </w:pPr>
      <w:r w:rsidRPr="00E852BB">
        <w:rPr>
          <w:rFonts w:ascii="David" w:hAnsi="David" w:cs="David"/>
          <w:sz w:val="24"/>
          <w:szCs w:val="24"/>
        </w:rPr>
        <w:t xml:space="preserve">Strand, J. J., </w:t>
      </w:r>
      <w:proofErr w:type="spellStart"/>
      <w:r w:rsidRPr="00E852BB">
        <w:rPr>
          <w:rFonts w:ascii="David" w:hAnsi="David" w:cs="David"/>
          <w:sz w:val="24"/>
          <w:szCs w:val="24"/>
        </w:rPr>
        <w:t>Kamdar</w:t>
      </w:r>
      <w:proofErr w:type="spellEnd"/>
      <w:r w:rsidRPr="00E852BB">
        <w:rPr>
          <w:rFonts w:ascii="David" w:hAnsi="David" w:cs="David"/>
          <w:sz w:val="24"/>
          <w:szCs w:val="24"/>
        </w:rPr>
        <w:t xml:space="preserve">, M. M., &amp; Carey, E. C. (2013, August). Top 10 things palliative care clinicians wished everyone knew about palliative care. In </w:t>
      </w:r>
      <w:r w:rsidRPr="00E852BB">
        <w:rPr>
          <w:rFonts w:ascii="David" w:hAnsi="David" w:cs="David"/>
          <w:i/>
          <w:iCs/>
          <w:sz w:val="24"/>
          <w:szCs w:val="24"/>
        </w:rPr>
        <w:t>Mayo Clinic Proceedings</w:t>
      </w:r>
      <w:r w:rsidRPr="00E852BB">
        <w:rPr>
          <w:rFonts w:ascii="David" w:hAnsi="David" w:cs="David"/>
          <w:sz w:val="24"/>
          <w:szCs w:val="24"/>
        </w:rPr>
        <w:t xml:space="preserve"> (Vol. 88, No. 8, pp. 859-865). </w:t>
      </w:r>
      <w:proofErr w:type="gramStart"/>
      <w:r w:rsidRPr="00E852BB">
        <w:rPr>
          <w:rFonts w:ascii="David" w:hAnsi="David" w:cs="David"/>
          <w:sz w:val="24"/>
          <w:szCs w:val="24"/>
        </w:rPr>
        <w:t>Elsevier.</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rPr>
          <w:rFonts w:ascii="David" w:hAnsi="David" w:cs="David"/>
          <w:sz w:val="24"/>
          <w:szCs w:val="24"/>
        </w:rPr>
      </w:pPr>
      <w:proofErr w:type="spellStart"/>
      <w:r w:rsidRPr="00E852BB">
        <w:rPr>
          <w:rFonts w:ascii="David" w:eastAsia="Times New Roman" w:hAnsi="David" w:cs="David"/>
          <w:color w:val="222222"/>
          <w:sz w:val="24"/>
          <w:szCs w:val="24"/>
        </w:rPr>
        <w:t>Tamir</w:t>
      </w:r>
      <w:proofErr w:type="spellEnd"/>
      <w:r w:rsidRPr="00E852BB">
        <w:rPr>
          <w:rFonts w:ascii="David" w:eastAsia="Times New Roman" w:hAnsi="David" w:cs="David"/>
          <w:color w:val="222222"/>
          <w:sz w:val="24"/>
          <w:szCs w:val="24"/>
        </w:rPr>
        <w:t xml:space="preserve">, O., Singer, Y., &amp; </w:t>
      </w:r>
      <w:proofErr w:type="spellStart"/>
      <w:r w:rsidRPr="00E852BB">
        <w:rPr>
          <w:rFonts w:ascii="David" w:eastAsia="Times New Roman" w:hAnsi="David" w:cs="David"/>
          <w:color w:val="222222"/>
          <w:sz w:val="24"/>
          <w:szCs w:val="24"/>
        </w:rPr>
        <w:t>Shvartzman</w:t>
      </w:r>
      <w:proofErr w:type="spellEnd"/>
      <w:r w:rsidRPr="00E852BB">
        <w:rPr>
          <w:rFonts w:ascii="David" w:eastAsia="Times New Roman" w:hAnsi="David" w:cs="David"/>
          <w:color w:val="222222"/>
          <w:sz w:val="24"/>
          <w:szCs w:val="24"/>
        </w:rPr>
        <w:t xml:space="preserve">, P. (2007). Taking care of terminally-ill patients at home—the economic perspective revisited. </w:t>
      </w:r>
      <w:r w:rsidRPr="00E852BB">
        <w:rPr>
          <w:rFonts w:ascii="David" w:eastAsia="Times New Roman" w:hAnsi="David" w:cs="David"/>
          <w:i/>
          <w:iCs/>
          <w:color w:val="222222"/>
          <w:sz w:val="24"/>
          <w:szCs w:val="24"/>
        </w:rPr>
        <w:t>Palliative Medicine</w:t>
      </w:r>
      <w:r w:rsidRPr="00E852BB">
        <w:rPr>
          <w:rFonts w:ascii="David" w:eastAsia="Times New Roman" w:hAnsi="David" w:cs="David"/>
          <w:color w:val="222222"/>
          <w:sz w:val="24"/>
          <w:szCs w:val="24"/>
        </w:rPr>
        <w:t xml:space="preserve">, </w:t>
      </w:r>
      <w:r w:rsidRPr="00E852BB">
        <w:rPr>
          <w:rFonts w:ascii="David" w:eastAsia="Times New Roman" w:hAnsi="David" w:cs="David"/>
          <w:i/>
          <w:iCs/>
          <w:color w:val="222222"/>
          <w:sz w:val="24"/>
          <w:szCs w:val="24"/>
        </w:rPr>
        <w:t>21</w:t>
      </w:r>
      <w:r w:rsidRPr="00E852BB">
        <w:rPr>
          <w:rFonts w:ascii="David" w:eastAsia="Times New Roman" w:hAnsi="David" w:cs="David"/>
          <w:color w:val="222222"/>
          <w:sz w:val="24"/>
          <w:szCs w:val="24"/>
        </w:rPr>
        <w:t>(6), 537-541</w:t>
      </w:r>
    </w:p>
    <w:p w:rsidR="00B62F50" w:rsidRPr="00E852BB" w:rsidRDefault="00B62F50" w:rsidP="00B62F50">
      <w:pPr>
        <w:spacing w:after="120" w:line="240" w:lineRule="auto"/>
        <w:ind w:left="425" w:hanging="425"/>
        <w:rPr>
          <w:rFonts w:ascii="David" w:hAnsi="David" w:cs="David"/>
          <w:sz w:val="24"/>
          <w:szCs w:val="24"/>
          <w:rtl/>
        </w:rPr>
      </w:pPr>
      <w:proofErr w:type="spellStart"/>
      <w:r w:rsidRPr="00E852BB">
        <w:rPr>
          <w:rFonts w:ascii="David" w:hAnsi="David" w:cs="David"/>
          <w:sz w:val="24"/>
          <w:szCs w:val="24"/>
        </w:rPr>
        <w:lastRenderedPageBreak/>
        <w:t>Temel</w:t>
      </w:r>
      <w:proofErr w:type="spellEnd"/>
      <w:r w:rsidRPr="00E852BB">
        <w:rPr>
          <w:rFonts w:ascii="David" w:hAnsi="David" w:cs="David"/>
          <w:sz w:val="24"/>
          <w:szCs w:val="24"/>
        </w:rPr>
        <w:t xml:space="preserve">, J. S., Greer, J. A., </w:t>
      </w:r>
      <w:proofErr w:type="spellStart"/>
      <w:r w:rsidRPr="00E852BB">
        <w:rPr>
          <w:rFonts w:ascii="David" w:hAnsi="David" w:cs="David"/>
          <w:sz w:val="24"/>
          <w:szCs w:val="24"/>
        </w:rPr>
        <w:t>Muzikansky</w:t>
      </w:r>
      <w:proofErr w:type="spellEnd"/>
      <w:r w:rsidRPr="00E852BB">
        <w:rPr>
          <w:rFonts w:ascii="David" w:hAnsi="David" w:cs="David"/>
          <w:sz w:val="24"/>
          <w:szCs w:val="24"/>
        </w:rPr>
        <w:t xml:space="preserve">, A., Gallagher, E. R., </w:t>
      </w:r>
      <w:proofErr w:type="spellStart"/>
      <w:r w:rsidRPr="00E852BB">
        <w:rPr>
          <w:rFonts w:ascii="David" w:hAnsi="David" w:cs="David"/>
          <w:sz w:val="24"/>
          <w:szCs w:val="24"/>
        </w:rPr>
        <w:t>Admane</w:t>
      </w:r>
      <w:proofErr w:type="spellEnd"/>
      <w:r w:rsidRPr="00E852BB">
        <w:rPr>
          <w:rFonts w:ascii="David" w:hAnsi="David" w:cs="David"/>
          <w:sz w:val="24"/>
          <w:szCs w:val="24"/>
        </w:rPr>
        <w:t xml:space="preserve">, S., Jackson, V. A., ... &amp; Billings, J. A. (2010). Early palliative care for patients with metastatic non–small-cell lung cancer. </w:t>
      </w:r>
      <w:r w:rsidRPr="00E852BB">
        <w:rPr>
          <w:rFonts w:ascii="David" w:hAnsi="David" w:cs="David"/>
          <w:i/>
          <w:iCs/>
          <w:sz w:val="24"/>
          <w:szCs w:val="24"/>
        </w:rPr>
        <w:t>New England Journal of Medicine</w:t>
      </w:r>
      <w:r w:rsidRPr="00E852BB">
        <w:rPr>
          <w:rFonts w:ascii="David" w:hAnsi="David" w:cs="David"/>
          <w:sz w:val="24"/>
          <w:szCs w:val="24"/>
        </w:rPr>
        <w:t xml:space="preserve">, </w:t>
      </w:r>
      <w:r w:rsidRPr="00E852BB">
        <w:rPr>
          <w:rFonts w:ascii="David" w:hAnsi="David" w:cs="David"/>
          <w:i/>
          <w:iCs/>
          <w:sz w:val="24"/>
          <w:szCs w:val="24"/>
        </w:rPr>
        <w:t>363</w:t>
      </w:r>
      <w:r w:rsidRPr="00E852BB">
        <w:rPr>
          <w:rFonts w:ascii="David" w:hAnsi="David" w:cs="David"/>
          <w:sz w:val="24"/>
          <w:szCs w:val="24"/>
        </w:rPr>
        <w:t>(8), 733-</w:t>
      </w:r>
      <w:proofErr w:type="gramStart"/>
      <w:r w:rsidRPr="00E852BB">
        <w:rPr>
          <w:rFonts w:ascii="David" w:hAnsi="David" w:cs="David"/>
          <w:sz w:val="24"/>
          <w:szCs w:val="24"/>
        </w:rPr>
        <w:t>742.</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rPr>
          <w:rFonts w:ascii="David" w:eastAsia="Times New Roman" w:hAnsi="David" w:cs="David"/>
          <w:sz w:val="24"/>
          <w:szCs w:val="24"/>
        </w:rPr>
      </w:pPr>
      <w:r w:rsidRPr="00E852BB">
        <w:rPr>
          <w:rFonts w:ascii="David" w:eastAsia="Times New Roman" w:hAnsi="David" w:cs="David"/>
          <w:sz w:val="24"/>
          <w:szCs w:val="24"/>
        </w:rPr>
        <w:t xml:space="preserve">The Support Study. (1995). A controlled trial to improve care for seriously </w:t>
      </w:r>
      <w:proofErr w:type="spellStart"/>
      <w:r w:rsidRPr="00E852BB">
        <w:rPr>
          <w:rFonts w:ascii="David" w:eastAsia="Times New Roman" w:hAnsi="David" w:cs="David"/>
          <w:sz w:val="24"/>
          <w:szCs w:val="24"/>
        </w:rPr>
        <w:t>iII</w:t>
      </w:r>
      <w:proofErr w:type="spellEnd"/>
      <w:r w:rsidRPr="00E852BB">
        <w:rPr>
          <w:rFonts w:ascii="David" w:eastAsia="Times New Roman" w:hAnsi="David" w:cs="David"/>
          <w:sz w:val="24"/>
          <w:szCs w:val="24"/>
        </w:rPr>
        <w:t xml:space="preserve"> hospitalized patients: The study to understand prognoses and preferences for outcomes and risks of treatments (SUPPORT). </w:t>
      </w:r>
      <w:proofErr w:type="spellStart"/>
      <w:r w:rsidRPr="00E852BB">
        <w:rPr>
          <w:rFonts w:ascii="David" w:eastAsia="Times New Roman" w:hAnsi="David" w:cs="David"/>
          <w:i/>
          <w:iCs/>
          <w:sz w:val="24"/>
          <w:szCs w:val="24"/>
        </w:rPr>
        <w:t>Jama</w:t>
      </w:r>
      <w:proofErr w:type="spellEnd"/>
      <w:r w:rsidRPr="00E852BB">
        <w:rPr>
          <w:rFonts w:ascii="David" w:eastAsia="Times New Roman" w:hAnsi="David" w:cs="David"/>
          <w:sz w:val="24"/>
          <w:szCs w:val="24"/>
        </w:rPr>
        <w:t xml:space="preserve">, </w:t>
      </w:r>
      <w:r w:rsidRPr="00E852BB">
        <w:rPr>
          <w:rFonts w:ascii="David" w:eastAsia="Times New Roman" w:hAnsi="David" w:cs="David"/>
          <w:i/>
          <w:iCs/>
          <w:sz w:val="24"/>
          <w:szCs w:val="24"/>
        </w:rPr>
        <w:t>274</w:t>
      </w:r>
      <w:r w:rsidRPr="00E852BB">
        <w:rPr>
          <w:rFonts w:ascii="David" w:eastAsia="Times New Roman" w:hAnsi="David" w:cs="David"/>
          <w:sz w:val="24"/>
          <w:szCs w:val="24"/>
        </w:rPr>
        <w:t>(20), 1591-</w:t>
      </w:r>
      <w:proofErr w:type="gramStart"/>
      <w:r w:rsidRPr="00E852BB">
        <w:rPr>
          <w:rFonts w:ascii="David" w:eastAsia="Times New Roman" w:hAnsi="David" w:cs="David"/>
          <w:sz w:val="24"/>
          <w:szCs w:val="24"/>
        </w:rPr>
        <w:t>1598.</w:t>
      </w:r>
      <w:r w:rsidRPr="00E852BB">
        <w:rPr>
          <w:rFonts w:ascii="David" w:eastAsia="Times New Roman" w:hAnsi="David" w:cs="David"/>
          <w:sz w:val="24"/>
          <w:szCs w:val="24"/>
          <w:rtl/>
        </w:rPr>
        <w:t>‏</w:t>
      </w:r>
      <w:proofErr w:type="gramEnd"/>
    </w:p>
    <w:p w:rsidR="00B62F50" w:rsidRPr="00E852BB" w:rsidRDefault="00B62F50" w:rsidP="00B62F50">
      <w:pPr>
        <w:shd w:val="clear" w:color="auto" w:fill="FFFFFF"/>
        <w:spacing w:after="120" w:line="240" w:lineRule="auto"/>
        <w:ind w:left="425" w:hanging="425"/>
        <w:textAlignment w:val="baseline"/>
        <w:outlineLvl w:val="0"/>
        <w:rPr>
          <w:rFonts w:ascii="David" w:hAnsi="David" w:cs="David"/>
          <w:sz w:val="24"/>
          <w:szCs w:val="24"/>
          <w:rtl/>
        </w:rPr>
      </w:pPr>
      <w:proofErr w:type="spellStart"/>
      <w:r w:rsidRPr="00E852BB">
        <w:rPr>
          <w:rFonts w:ascii="David" w:hAnsi="David" w:cs="David"/>
          <w:sz w:val="24"/>
          <w:szCs w:val="24"/>
        </w:rPr>
        <w:t>Weissman</w:t>
      </w:r>
      <w:proofErr w:type="spellEnd"/>
      <w:r w:rsidRPr="00E852BB">
        <w:rPr>
          <w:rFonts w:ascii="David" w:hAnsi="David" w:cs="David"/>
          <w:sz w:val="24"/>
          <w:szCs w:val="24"/>
        </w:rPr>
        <w:t xml:space="preserve">, D. E., &amp; Meier, D. E. (2011). Identifying patients in need of a palliative care assessment in the hospital setting a consensus report from the Center to Advance Palliative Care. </w:t>
      </w:r>
      <w:r w:rsidRPr="00E852BB">
        <w:rPr>
          <w:rFonts w:ascii="David" w:hAnsi="David" w:cs="David"/>
          <w:i/>
          <w:iCs/>
          <w:sz w:val="24"/>
          <w:szCs w:val="24"/>
        </w:rPr>
        <w:t>Journal of palliative medicine</w:t>
      </w:r>
      <w:r w:rsidRPr="00E852BB">
        <w:rPr>
          <w:rFonts w:ascii="David" w:hAnsi="David" w:cs="David"/>
          <w:sz w:val="24"/>
          <w:szCs w:val="24"/>
        </w:rPr>
        <w:t xml:space="preserve">, </w:t>
      </w:r>
      <w:r w:rsidRPr="00E852BB">
        <w:rPr>
          <w:rFonts w:ascii="David" w:hAnsi="David" w:cs="David"/>
          <w:i/>
          <w:iCs/>
          <w:sz w:val="24"/>
          <w:szCs w:val="24"/>
        </w:rPr>
        <w:t>14</w:t>
      </w:r>
      <w:r w:rsidRPr="00E852BB">
        <w:rPr>
          <w:rFonts w:ascii="David" w:hAnsi="David" w:cs="David"/>
          <w:sz w:val="24"/>
          <w:szCs w:val="24"/>
        </w:rPr>
        <w:t>(1), 17-</w:t>
      </w:r>
      <w:proofErr w:type="gramStart"/>
      <w:r w:rsidRPr="00E852BB">
        <w:rPr>
          <w:rFonts w:ascii="David" w:hAnsi="David" w:cs="David"/>
          <w:sz w:val="24"/>
          <w:szCs w:val="24"/>
        </w:rPr>
        <w:t>23.</w:t>
      </w:r>
      <w:r w:rsidRPr="00E852BB">
        <w:rPr>
          <w:rFonts w:ascii="David" w:hAnsi="David" w:cs="David"/>
          <w:sz w:val="24"/>
          <w:szCs w:val="24"/>
          <w:rtl/>
        </w:rPr>
        <w:t>‏</w:t>
      </w:r>
      <w:proofErr w:type="gramEnd"/>
    </w:p>
    <w:p w:rsidR="00B62F50" w:rsidRPr="00E852BB" w:rsidRDefault="00B62F50" w:rsidP="00B62F50">
      <w:pPr>
        <w:shd w:val="clear" w:color="auto" w:fill="FFFFFF"/>
        <w:spacing w:after="120" w:line="240" w:lineRule="auto"/>
        <w:ind w:left="425" w:hanging="425"/>
        <w:textAlignment w:val="baseline"/>
        <w:outlineLvl w:val="0"/>
        <w:rPr>
          <w:rFonts w:ascii="David" w:hAnsi="David" w:cs="David"/>
          <w:sz w:val="24"/>
          <w:szCs w:val="24"/>
          <w:rtl/>
        </w:rPr>
      </w:pPr>
      <w:r w:rsidRPr="00E852BB">
        <w:rPr>
          <w:rFonts w:ascii="David" w:eastAsia="Times New Roman" w:hAnsi="David" w:cs="David"/>
          <w:kern w:val="36"/>
          <w:sz w:val="24"/>
          <w:szCs w:val="24"/>
        </w:rPr>
        <w:t>WHO Definition of Palliative Care</w:t>
      </w:r>
      <w:r w:rsidRPr="00E852BB">
        <w:rPr>
          <w:rFonts w:ascii="David" w:eastAsia="Times New Roman" w:hAnsi="David" w:cs="David"/>
          <w:kern w:val="36"/>
          <w:sz w:val="24"/>
          <w:szCs w:val="24"/>
          <w:rtl/>
        </w:rPr>
        <w:t xml:space="preserve">  </w:t>
      </w:r>
      <w:hyperlink r:id="rId9" w:history="1">
        <w:r w:rsidRPr="00E852BB">
          <w:rPr>
            <w:rStyle w:val="Hyperlink"/>
            <w:rFonts w:ascii="David" w:hAnsi="David" w:cs="David"/>
            <w:sz w:val="24"/>
            <w:szCs w:val="24"/>
          </w:rPr>
          <w:t>http://www.who.int/cancer/palliative/definition/en/</w:t>
        </w:r>
      </w:hyperlink>
    </w:p>
    <w:p w:rsidR="00B62F50" w:rsidRPr="00E852BB" w:rsidRDefault="00B62F50" w:rsidP="00B62F50">
      <w:pPr>
        <w:spacing w:after="120" w:line="240" w:lineRule="auto"/>
        <w:ind w:left="425" w:hanging="425"/>
        <w:rPr>
          <w:rFonts w:ascii="David" w:hAnsi="David" w:cs="David"/>
          <w:sz w:val="24"/>
          <w:szCs w:val="24"/>
        </w:rPr>
      </w:pPr>
    </w:p>
    <w:p w:rsidR="00B62F50" w:rsidRPr="00E852BB" w:rsidRDefault="00B62F50" w:rsidP="00B62F50">
      <w:pPr>
        <w:spacing w:after="120" w:line="240" w:lineRule="auto"/>
        <w:ind w:hanging="709"/>
        <w:rPr>
          <w:rFonts w:ascii="David" w:eastAsia="Times New Roman" w:hAnsi="David" w:cs="David"/>
          <w:sz w:val="24"/>
          <w:szCs w:val="24"/>
          <w:rtl/>
        </w:rPr>
      </w:pPr>
      <w:r w:rsidRPr="00E852BB">
        <w:rPr>
          <w:rFonts w:ascii="David" w:eastAsia="Times New Roman" w:hAnsi="David" w:cs="David"/>
          <w:kern w:val="36"/>
          <w:sz w:val="24"/>
          <w:szCs w:val="24"/>
          <w:rtl/>
        </w:rPr>
        <w:t xml:space="preserve">בנטור, נ., </w:t>
      </w:r>
      <w:proofErr w:type="spellStart"/>
      <w:r w:rsidRPr="00E852BB">
        <w:rPr>
          <w:rFonts w:ascii="David" w:eastAsia="Times New Roman" w:hAnsi="David" w:cs="David"/>
          <w:kern w:val="36"/>
          <w:sz w:val="24"/>
          <w:szCs w:val="24"/>
          <w:rtl/>
        </w:rPr>
        <w:t>רזניצקי</w:t>
      </w:r>
      <w:proofErr w:type="spellEnd"/>
      <w:r w:rsidRPr="00E852BB">
        <w:rPr>
          <w:rFonts w:ascii="David" w:eastAsia="Times New Roman" w:hAnsi="David" w:cs="David"/>
          <w:kern w:val="36"/>
          <w:sz w:val="24"/>
          <w:szCs w:val="24"/>
          <w:rtl/>
        </w:rPr>
        <w:t xml:space="preserve">, ש., שנור, י. שירותים </w:t>
      </w:r>
      <w:proofErr w:type="spellStart"/>
      <w:r w:rsidRPr="00E852BB">
        <w:rPr>
          <w:rFonts w:ascii="David" w:eastAsia="Times New Roman" w:hAnsi="David" w:cs="David"/>
          <w:kern w:val="36"/>
          <w:sz w:val="24"/>
          <w:szCs w:val="24"/>
          <w:rtl/>
        </w:rPr>
        <w:t>פליאטיביים</w:t>
      </w:r>
      <w:proofErr w:type="spellEnd"/>
      <w:r w:rsidRPr="00E852BB">
        <w:rPr>
          <w:rFonts w:ascii="David" w:eastAsia="Times New Roman" w:hAnsi="David" w:cs="David"/>
          <w:kern w:val="36"/>
          <w:sz w:val="24"/>
          <w:szCs w:val="24"/>
          <w:rtl/>
        </w:rPr>
        <w:t xml:space="preserve"> ושירותי הוספיס בישראל. (2005). </w:t>
      </w:r>
      <w:proofErr w:type="spellStart"/>
      <w:r w:rsidRPr="00E852BB">
        <w:rPr>
          <w:rFonts w:ascii="David" w:eastAsia="Times New Roman" w:hAnsi="David" w:cs="David"/>
          <w:kern w:val="36"/>
          <w:sz w:val="24"/>
          <w:szCs w:val="24"/>
          <w:rtl/>
        </w:rPr>
        <w:t>מאיירס</w:t>
      </w:r>
      <w:proofErr w:type="spellEnd"/>
      <w:r w:rsidRPr="00E852BB">
        <w:rPr>
          <w:rFonts w:ascii="David" w:eastAsia="Times New Roman" w:hAnsi="David" w:cs="David"/>
          <w:kern w:val="36"/>
          <w:sz w:val="24"/>
          <w:szCs w:val="24"/>
          <w:rtl/>
        </w:rPr>
        <w:t xml:space="preserve">-ג'וינט-מכון </w:t>
      </w:r>
      <w:proofErr w:type="spellStart"/>
      <w:r w:rsidRPr="00E852BB">
        <w:rPr>
          <w:rFonts w:ascii="David" w:eastAsia="Times New Roman" w:hAnsi="David" w:cs="David"/>
          <w:kern w:val="36"/>
          <w:sz w:val="24"/>
          <w:szCs w:val="24"/>
          <w:rtl/>
        </w:rPr>
        <w:t>ברוקדייל</w:t>
      </w:r>
      <w:proofErr w:type="spellEnd"/>
      <w:r w:rsidRPr="00E852BB">
        <w:rPr>
          <w:rFonts w:ascii="David" w:eastAsia="Times New Roman" w:hAnsi="David" w:cs="David"/>
          <w:kern w:val="36"/>
          <w:sz w:val="24"/>
          <w:szCs w:val="24"/>
          <w:rtl/>
        </w:rPr>
        <w:t xml:space="preserve">   </w:t>
      </w:r>
      <w:proofErr w:type="spellStart"/>
      <w:r w:rsidRPr="00E852BB">
        <w:rPr>
          <w:rFonts w:ascii="David" w:eastAsia="Times New Roman" w:hAnsi="David" w:cs="David"/>
          <w:kern w:val="36"/>
          <w:sz w:val="24"/>
          <w:szCs w:val="24"/>
          <w:rtl/>
        </w:rPr>
        <w:t>דמ</w:t>
      </w:r>
      <w:proofErr w:type="spellEnd"/>
      <w:r w:rsidRPr="00E852BB">
        <w:rPr>
          <w:rFonts w:ascii="David" w:eastAsia="Times New Roman" w:hAnsi="David" w:cs="David"/>
          <w:kern w:val="36"/>
          <w:sz w:val="24"/>
          <w:szCs w:val="24"/>
          <w:rtl/>
        </w:rPr>
        <w:t>-</w:t>
      </w:r>
      <w:r w:rsidRPr="00E852BB">
        <w:rPr>
          <w:rFonts w:ascii="David" w:hAnsi="David" w:cs="David"/>
          <w:sz w:val="24"/>
          <w:szCs w:val="24"/>
          <w:shd w:val="clear" w:color="auto" w:fill="FFFFFF"/>
          <w:rtl/>
        </w:rPr>
        <w:t xml:space="preserve"> </w:t>
      </w:r>
      <w:r w:rsidRPr="00E852BB">
        <w:rPr>
          <w:rFonts w:ascii="David" w:hAnsi="David" w:cs="David"/>
          <w:sz w:val="24"/>
          <w:szCs w:val="24"/>
          <w:shd w:val="clear" w:color="auto" w:fill="FFFFFF"/>
        </w:rPr>
        <w:t>05-459</w:t>
      </w:r>
      <w:r w:rsidRPr="00E852BB">
        <w:rPr>
          <w:rFonts w:ascii="David" w:hAnsi="David" w:cs="David"/>
          <w:sz w:val="24"/>
          <w:szCs w:val="24"/>
          <w:shd w:val="clear" w:color="auto" w:fill="FFFFFF"/>
          <w:rtl/>
        </w:rPr>
        <w:t xml:space="preserve"> </w:t>
      </w:r>
    </w:p>
    <w:p w:rsidR="00B62F50" w:rsidRPr="00E852BB" w:rsidRDefault="00B62F50" w:rsidP="00B62F50">
      <w:pPr>
        <w:spacing w:after="120" w:line="240" w:lineRule="auto"/>
        <w:ind w:hanging="709"/>
        <w:rPr>
          <w:rFonts w:ascii="David" w:hAnsi="David" w:cs="David"/>
          <w:sz w:val="24"/>
          <w:szCs w:val="24"/>
          <w:rtl/>
        </w:rPr>
      </w:pPr>
      <w:r w:rsidRPr="00E852BB">
        <w:rPr>
          <w:rFonts w:ascii="David" w:eastAsia="Times New Roman" w:hAnsi="David" w:cs="David"/>
          <w:sz w:val="24"/>
          <w:szCs w:val="24"/>
          <w:rtl/>
        </w:rPr>
        <w:t xml:space="preserve">בנטור, נ., לרון, מ., אזולאי, ד., </w:t>
      </w:r>
      <w:proofErr w:type="spellStart"/>
      <w:r w:rsidRPr="00E852BB">
        <w:rPr>
          <w:rFonts w:ascii="David" w:eastAsia="Times New Roman" w:hAnsi="David" w:cs="David"/>
          <w:sz w:val="24"/>
          <w:szCs w:val="24"/>
          <w:rtl/>
        </w:rPr>
        <w:t>אוברמן</w:t>
      </w:r>
      <w:proofErr w:type="spellEnd"/>
      <w:r w:rsidRPr="00E852BB">
        <w:rPr>
          <w:rFonts w:ascii="David" w:eastAsia="Times New Roman" w:hAnsi="David" w:cs="David"/>
          <w:sz w:val="24"/>
          <w:szCs w:val="24"/>
          <w:rtl/>
        </w:rPr>
        <w:t xml:space="preserve">, א. (2015). </w:t>
      </w:r>
      <w:r w:rsidRPr="00E852BB">
        <w:rPr>
          <w:rFonts w:ascii="David" w:eastAsia="Times New Roman" w:hAnsi="David" w:cs="David"/>
          <w:kern w:val="36"/>
          <w:sz w:val="24"/>
          <w:szCs w:val="24"/>
          <w:rtl/>
        </w:rPr>
        <w:t xml:space="preserve">שירותים </w:t>
      </w:r>
      <w:proofErr w:type="spellStart"/>
      <w:r w:rsidRPr="00E852BB">
        <w:rPr>
          <w:rFonts w:ascii="David" w:eastAsia="Times New Roman" w:hAnsi="David" w:cs="David"/>
          <w:kern w:val="36"/>
          <w:sz w:val="24"/>
          <w:szCs w:val="24"/>
          <w:rtl/>
        </w:rPr>
        <w:t>פליאטיביים</w:t>
      </w:r>
      <w:proofErr w:type="spellEnd"/>
      <w:r w:rsidRPr="00E852BB">
        <w:rPr>
          <w:rFonts w:ascii="David" w:eastAsia="Times New Roman" w:hAnsi="David" w:cs="David"/>
          <w:kern w:val="36"/>
          <w:sz w:val="24"/>
          <w:szCs w:val="24"/>
          <w:rtl/>
        </w:rPr>
        <w:t xml:space="preserve"> בבתי חולים כלליים ובמרכזים רפואיים גריאטריים בישראל. </w:t>
      </w:r>
      <w:proofErr w:type="spellStart"/>
      <w:r w:rsidRPr="00E852BB">
        <w:rPr>
          <w:rFonts w:ascii="David" w:eastAsia="Times New Roman" w:hAnsi="David" w:cs="David"/>
          <w:kern w:val="36"/>
          <w:sz w:val="24"/>
          <w:szCs w:val="24"/>
          <w:rtl/>
        </w:rPr>
        <w:t>מאיירס</w:t>
      </w:r>
      <w:proofErr w:type="spellEnd"/>
      <w:r w:rsidRPr="00E852BB">
        <w:rPr>
          <w:rFonts w:ascii="David" w:eastAsia="Times New Roman" w:hAnsi="David" w:cs="David"/>
          <w:kern w:val="36"/>
          <w:sz w:val="24"/>
          <w:szCs w:val="24"/>
          <w:rtl/>
        </w:rPr>
        <w:t xml:space="preserve">-ג'וינט-מכון </w:t>
      </w:r>
      <w:proofErr w:type="spellStart"/>
      <w:r w:rsidRPr="00E852BB">
        <w:rPr>
          <w:rFonts w:ascii="David" w:eastAsia="Times New Roman" w:hAnsi="David" w:cs="David"/>
          <w:kern w:val="36"/>
          <w:sz w:val="24"/>
          <w:szCs w:val="24"/>
          <w:rtl/>
        </w:rPr>
        <w:t>ברוקדייל</w:t>
      </w:r>
      <w:proofErr w:type="spellEnd"/>
      <w:r w:rsidRPr="00E852BB">
        <w:rPr>
          <w:rFonts w:ascii="David" w:eastAsia="Times New Roman" w:hAnsi="David" w:cs="David"/>
          <w:kern w:val="36"/>
          <w:sz w:val="24"/>
          <w:szCs w:val="24"/>
          <w:rtl/>
        </w:rPr>
        <w:t xml:space="preserve"> </w:t>
      </w:r>
      <w:r w:rsidRPr="00E852BB">
        <w:rPr>
          <w:rFonts w:ascii="David" w:hAnsi="David" w:cs="David"/>
          <w:sz w:val="24"/>
          <w:szCs w:val="24"/>
          <w:rtl/>
        </w:rPr>
        <w:t>דמ-15-704</w:t>
      </w:r>
    </w:p>
    <w:p w:rsidR="00B62F50" w:rsidRPr="00E852BB" w:rsidRDefault="00B62F50" w:rsidP="00B62F50">
      <w:pPr>
        <w:spacing w:after="120" w:line="240" w:lineRule="auto"/>
        <w:ind w:hanging="709"/>
        <w:rPr>
          <w:rFonts w:ascii="David" w:hAnsi="David" w:cs="David"/>
          <w:sz w:val="24"/>
          <w:szCs w:val="24"/>
          <w:shd w:val="clear" w:color="auto" w:fill="FFFFFF"/>
          <w:rtl/>
        </w:rPr>
      </w:pPr>
      <w:r w:rsidRPr="00E852BB">
        <w:rPr>
          <w:rFonts w:ascii="David" w:eastAsia="Times New Roman" w:hAnsi="David" w:cs="David"/>
          <w:kern w:val="36"/>
          <w:sz w:val="24"/>
          <w:szCs w:val="24"/>
          <w:rtl/>
        </w:rPr>
        <w:t xml:space="preserve">בנטור, נ., </w:t>
      </w:r>
      <w:proofErr w:type="spellStart"/>
      <w:r w:rsidRPr="00E852BB">
        <w:rPr>
          <w:rFonts w:ascii="David" w:eastAsia="Times New Roman" w:hAnsi="David" w:cs="David"/>
          <w:kern w:val="36"/>
          <w:sz w:val="24"/>
          <w:szCs w:val="24"/>
          <w:rtl/>
        </w:rPr>
        <w:t>שולדינר</w:t>
      </w:r>
      <w:proofErr w:type="spellEnd"/>
      <w:r w:rsidRPr="00E852BB">
        <w:rPr>
          <w:rFonts w:ascii="David" w:eastAsia="Times New Roman" w:hAnsi="David" w:cs="David"/>
          <w:kern w:val="36"/>
          <w:sz w:val="24"/>
          <w:szCs w:val="24"/>
          <w:rtl/>
        </w:rPr>
        <w:t xml:space="preserve"> ג'., </w:t>
      </w:r>
      <w:proofErr w:type="spellStart"/>
      <w:r w:rsidRPr="00E852BB">
        <w:rPr>
          <w:rFonts w:ascii="David" w:eastAsia="Times New Roman" w:hAnsi="David" w:cs="David"/>
          <w:kern w:val="36"/>
          <w:sz w:val="24"/>
          <w:szCs w:val="24"/>
          <w:rtl/>
        </w:rPr>
        <w:t>רזניצקי</w:t>
      </w:r>
      <w:proofErr w:type="spellEnd"/>
      <w:r w:rsidRPr="00E852BB">
        <w:rPr>
          <w:rFonts w:ascii="David" w:eastAsia="Times New Roman" w:hAnsi="David" w:cs="David"/>
          <w:kern w:val="36"/>
          <w:sz w:val="24"/>
          <w:szCs w:val="24"/>
          <w:rtl/>
        </w:rPr>
        <w:t xml:space="preserve">, ש., שטרנברג, ש., אהרוני, ל., </w:t>
      </w:r>
      <w:proofErr w:type="spellStart"/>
      <w:r w:rsidRPr="00E852BB">
        <w:rPr>
          <w:rFonts w:ascii="David" w:eastAsia="Times New Roman" w:hAnsi="David" w:cs="David"/>
          <w:kern w:val="36"/>
          <w:sz w:val="24"/>
          <w:szCs w:val="24"/>
          <w:rtl/>
        </w:rPr>
        <w:t>פירוגובסקי</w:t>
      </w:r>
      <w:proofErr w:type="spellEnd"/>
      <w:r w:rsidRPr="00E852BB">
        <w:rPr>
          <w:rFonts w:ascii="David" w:eastAsia="Times New Roman" w:hAnsi="David" w:cs="David"/>
          <w:kern w:val="36"/>
          <w:sz w:val="24"/>
          <w:szCs w:val="24"/>
          <w:rtl/>
        </w:rPr>
        <w:t xml:space="preserve">, א., קורן, ב. (2016). ידע ועמדות של רופאים בקהילה ושל הציבור הרחב כלפי טיפול במצבי סוף החיים וטיפול </w:t>
      </w:r>
      <w:proofErr w:type="spellStart"/>
      <w:r w:rsidRPr="00E852BB">
        <w:rPr>
          <w:rFonts w:ascii="David" w:eastAsia="Times New Roman" w:hAnsi="David" w:cs="David"/>
          <w:kern w:val="36"/>
          <w:sz w:val="24"/>
          <w:szCs w:val="24"/>
          <w:rtl/>
        </w:rPr>
        <w:t>פליאטיבי</w:t>
      </w:r>
      <w:proofErr w:type="spellEnd"/>
      <w:r w:rsidRPr="00E852BB">
        <w:rPr>
          <w:rFonts w:ascii="David" w:eastAsia="Times New Roman" w:hAnsi="David" w:cs="David"/>
          <w:kern w:val="36"/>
          <w:sz w:val="24"/>
          <w:szCs w:val="24"/>
          <w:rtl/>
        </w:rPr>
        <w:t xml:space="preserve">. </w:t>
      </w:r>
      <w:proofErr w:type="spellStart"/>
      <w:r w:rsidRPr="00E852BB">
        <w:rPr>
          <w:rFonts w:ascii="David" w:eastAsia="Times New Roman" w:hAnsi="David" w:cs="David"/>
          <w:kern w:val="36"/>
          <w:sz w:val="24"/>
          <w:szCs w:val="24"/>
          <w:rtl/>
        </w:rPr>
        <w:t>מאיירס</w:t>
      </w:r>
      <w:proofErr w:type="spellEnd"/>
      <w:r w:rsidRPr="00E852BB">
        <w:rPr>
          <w:rFonts w:ascii="David" w:eastAsia="Times New Roman" w:hAnsi="David" w:cs="David"/>
          <w:kern w:val="36"/>
          <w:sz w:val="24"/>
          <w:szCs w:val="24"/>
          <w:rtl/>
        </w:rPr>
        <w:t xml:space="preserve">-ג'וינט-מכון </w:t>
      </w:r>
      <w:proofErr w:type="spellStart"/>
      <w:r w:rsidRPr="00E852BB">
        <w:rPr>
          <w:rFonts w:ascii="David" w:eastAsia="Times New Roman" w:hAnsi="David" w:cs="David"/>
          <w:kern w:val="36"/>
          <w:sz w:val="24"/>
          <w:szCs w:val="24"/>
          <w:rtl/>
        </w:rPr>
        <w:t>ברוקדייל</w:t>
      </w:r>
      <w:proofErr w:type="spellEnd"/>
      <w:r w:rsidRPr="00E852BB">
        <w:rPr>
          <w:rFonts w:ascii="David" w:eastAsia="Times New Roman" w:hAnsi="David" w:cs="David"/>
          <w:kern w:val="36"/>
          <w:sz w:val="24"/>
          <w:szCs w:val="24"/>
          <w:rtl/>
        </w:rPr>
        <w:t xml:space="preserve"> </w:t>
      </w:r>
      <w:r w:rsidRPr="00E852BB">
        <w:rPr>
          <w:rFonts w:ascii="David" w:hAnsi="David" w:cs="David"/>
          <w:sz w:val="24"/>
          <w:szCs w:val="24"/>
          <w:shd w:val="clear" w:color="auto" w:fill="FFFFFF"/>
          <w:rtl/>
        </w:rPr>
        <w:t xml:space="preserve">דמ-16-698 </w:t>
      </w:r>
    </w:p>
    <w:p w:rsidR="00B62F50" w:rsidRPr="00E852BB" w:rsidRDefault="00B62F50" w:rsidP="00B62F50">
      <w:pPr>
        <w:spacing w:after="120" w:line="240" w:lineRule="auto"/>
        <w:ind w:hanging="709"/>
        <w:rPr>
          <w:rFonts w:ascii="David" w:hAnsi="David" w:cs="David"/>
          <w:sz w:val="24"/>
          <w:szCs w:val="24"/>
          <w:shd w:val="clear" w:color="auto" w:fill="FFFFFF"/>
          <w:rtl/>
        </w:rPr>
      </w:pPr>
      <w:r w:rsidRPr="00E852BB">
        <w:rPr>
          <w:rFonts w:ascii="David" w:hAnsi="David" w:cs="David"/>
          <w:sz w:val="24"/>
          <w:szCs w:val="24"/>
          <w:rtl/>
        </w:rPr>
        <w:t xml:space="preserve">בנטור, נ., לרון, מ., </w:t>
      </w:r>
      <w:proofErr w:type="spellStart"/>
      <w:r w:rsidRPr="00E852BB">
        <w:rPr>
          <w:rFonts w:ascii="David" w:hAnsi="David" w:cs="David"/>
          <w:sz w:val="24"/>
          <w:szCs w:val="24"/>
          <w:rtl/>
        </w:rPr>
        <w:t>שולדינר</w:t>
      </w:r>
      <w:proofErr w:type="spellEnd"/>
      <w:r w:rsidRPr="00E852BB">
        <w:rPr>
          <w:rFonts w:ascii="David" w:hAnsi="David" w:cs="David"/>
          <w:sz w:val="24"/>
          <w:szCs w:val="24"/>
          <w:rtl/>
        </w:rPr>
        <w:t xml:space="preserve">, ג'. (2016). איכות הטיפול בסוף החיים בזקנים עם דמנציה מתקדמת בקהילה. </w:t>
      </w:r>
      <w:proofErr w:type="spellStart"/>
      <w:r w:rsidRPr="00E852BB">
        <w:rPr>
          <w:rFonts w:ascii="David" w:eastAsia="Times New Roman" w:hAnsi="David" w:cs="David"/>
          <w:kern w:val="36"/>
          <w:sz w:val="24"/>
          <w:szCs w:val="24"/>
          <w:rtl/>
        </w:rPr>
        <w:t>מאיירס</w:t>
      </w:r>
      <w:proofErr w:type="spellEnd"/>
      <w:r w:rsidRPr="00E852BB">
        <w:rPr>
          <w:rFonts w:ascii="David" w:eastAsia="Times New Roman" w:hAnsi="David" w:cs="David"/>
          <w:kern w:val="36"/>
          <w:sz w:val="24"/>
          <w:szCs w:val="24"/>
          <w:rtl/>
        </w:rPr>
        <w:t xml:space="preserve">-ג'וינט-מכון </w:t>
      </w:r>
      <w:proofErr w:type="spellStart"/>
      <w:r w:rsidRPr="00E852BB">
        <w:rPr>
          <w:rFonts w:ascii="David" w:eastAsia="Times New Roman" w:hAnsi="David" w:cs="David"/>
          <w:kern w:val="36"/>
          <w:sz w:val="24"/>
          <w:szCs w:val="24"/>
          <w:rtl/>
        </w:rPr>
        <w:t>ברוקדייל</w:t>
      </w:r>
      <w:proofErr w:type="spellEnd"/>
      <w:r w:rsidRPr="00E852BB">
        <w:rPr>
          <w:rFonts w:ascii="David" w:eastAsia="Times New Roman" w:hAnsi="David" w:cs="David"/>
          <w:kern w:val="36"/>
          <w:sz w:val="24"/>
          <w:szCs w:val="24"/>
          <w:rtl/>
        </w:rPr>
        <w:t xml:space="preserve"> </w:t>
      </w:r>
      <w:r w:rsidRPr="00E852BB">
        <w:rPr>
          <w:rFonts w:ascii="David" w:hAnsi="David" w:cs="David"/>
          <w:sz w:val="24"/>
          <w:szCs w:val="24"/>
          <w:shd w:val="clear" w:color="auto" w:fill="FFFFFF"/>
          <w:rtl/>
        </w:rPr>
        <w:t>דמ-16-698</w:t>
      </w:r>
    </w:p>
    <w:p w:rsidR="00B62F50" w:rsidRPr="00E852BB" w:rsidRDefault="00B62F50" w:rsidP="00B62F50">
      <w:pPr>
        <w:tabs>
          <w:tab w:val="right" w:pos="548"/>
        </w:tabs>
        <w:autoSpaceDE w:val="0"/>
        <w:autoSpaceDN w:val="0"/>
        <w:adjustRightInd w:val="0"/>
        <w:spacing w:after="120" w:line="240" w:lineRule="auto"/>
        <w:ind w:hanging="708"/>
        <w:rPr>
          <w:rFonts w:ascii="David" w:hAnsi="David" w:cs="David"/>
          <w:sz w:val="24"/>
          <w:szCs w:val="24"/>
          <w:rtl/>
        </w:rPr>
      </w:pPr>
      <w:r w:rsidRPr="00E852BB">
        <w:rPr>
          <w:rFonts w:ascii="David" w:hAnsi="David" w:cs="David"/>
          <w:sz w:val="24"/>
          <w:szCs w:val="24"/>
          <w:rtl/>
        </w:rPr>
        <w:t xml:space="preserve">המלצות התכנית הלאומית לטיפול </w:t>
      </w:r>
      <w:proofErr w:type="spellStart"/>
      <w:r w:rsidRPr="00E852BB">
        <w:rPr>
          <w:rFonts w:ascii="David" w:hAnsi="David" w:cs="David"/>
          <w:sz w:val="24"/>
          <w:szCs w:val="24"/>
          <w:rtl/>
        </w:rPr>
        <w:t>פליאטיבי</w:t>
      </w:r>
      <w:proofErr w:type="spellEnd"/>
      <w:r w:rsidRPr="00E852BB">
        <w:rPr>
          <w:rFonts w:ascii="David" w:hAnsi="David" w:cs="David"/>
          <w:sz w:val="24"/>
          <w:szCs w:val="24"/>
          <w:rtl/>
        </w:rPr>
        <w:t xml:space="preserve"> מצבי סוף החיים. 2016. משרד הבריאות. ירושלים</w:t>
      </w:r>
    </w:p>
    <w:p w:rsidR="00B62F50" w:rsidRPr="00E852BB" w:rsidRDefault="00B62F50" w:rsidP="00B62F50">
      <w:pPr>
        <w:spacing w:after="120" w:line="240" w:lineRule="auto"/>
        <w:ind w:left="425" w:hanging="425"/>
        <w:rPr>
          <w:rFonts w:ascii="David" w:hAnsi="David" w:cs="David"/>
          <w:sz w:val="24"/>
          <w:szCs w:val="24"/>
        </w:rPr>
      </w:pPr>
      <w:hyperlink r:id="rId10" w:history="1">
        <w:r w:rsidRPr="00E852BB">
          <w:rPr>
            <w:rStyle w:val="Hyperlink"/>
            <w:rFonts w:ascii="David" w:hAnsi="David" w:cs="David"/>
            <w:sz w:val="24"/>
            <w:szCs w:val="24"/>
          </w:rPr>
          <w:t>https://www.health.gov.il/PublicationsFiles/palliativeCare_brochure.pdf</w:t>
        </w:r>
      </w:hyperlink>
    </w:p>
    <w:p w:rsidR="00B62F50" w:rsidRDefault="00B62F50" w:rsidP="00B62F50">
      <w:pPr>
        <w:spacing w:after="120" w:line="240" w:lineRule="auto"/>
        <w:ind w:left="425" w:hanging="425"/>
        <w:rPr>
          <w:rFonts w:ascii="David" w:hAnsi="David" w:cs="David"/>
          <w:b/>
          <w:bCs/>
          <w:sz w:val="24"/>
          <w:szCs w:val="24"/>
          <w:rtl/>
        </w:rPr>
      </w:pPr>
    </w:p>
    <w:p w:rsidR="00B62F50" w:rsidRPr="00E852BB" w:rsidRDefault="00B62F50" w:rsidP="00B62F50">
      <w:pPr>
        <w:spacing w:after="120" w:line="240" w:lineRule="auto"/>
        <w:ind w:left="425" w:hanging="425"/>
        <w:rPr>
          <w:rFonts w:ascii="David" w:hAnsi="David" w:cs="David"/>
          <w:b/>
          <w:bCs/>
          <w:sz w:val="24"/>
          <w:szCs w:val="24"/>
          <w:rtl/>
        </w:rPr>
      </w:pPr>
      <w:r w:rsidRPr="00E852BB">
        <w:rPr>
          <w:rFonts w:ascii="David" w:hAnsi="David" w:cs="David"/>
          <w:b/>
          <w:bCs/>
          <w:sz w:val="24"/>
          <w:szCs w:val="24"/>
          <w:rtl/>
        </w:rPr>
        <w:t>מאמרי רשות והעשרה</w:t>
      </w:r>
    </w:p>
    <w:p w:rsidR="00B62F50" w:rsidRPr="00E852BB" w:rsidRDefault="00B62F50" w:rsidP="00B62F50">
      <w:pPr>
        <w:spacing w:after="120" w:line="240" w:lineRule="auto"/>
        <w:ind w:left="425" w:hanging="425"/>
        <w:rPr>
          <w:rFonts w:ascii="David" w:hAnsi="David" w:cs="David"/>
          <w:sz w:val="24"/>
          <w:szCs w:val="24"/>
        </w:rPr>
      </w:pPr>
      <w:proofErr w:type="spellStart"/>
      <w:r w:rsidRPr="00E852BB">
        <w:rPr>
          <w:rFonts w:ascii="David" w:hAnsi="David" w:cs="David"/>
          <w:sz w:val="24"/>
          <w:szCs w:val="24"/>
        </w:rPr>
        <w:t>Bruera</w:t>
      </w:r>
      <w:proofErr w:type="spellEnd"/>
      <w:r w:rsidRPr="00E852BB">
        <w:rPr>
          <w:rFonts w:ascii="David" w:hAnsi="David" w:cs="David"/>
          <w:sz w:val="24"/>
          <w:szCs w:val="24"/>
        </w:rPr>
        <w:t xml:space="preserve">, E., Kuehn, N., Miller, M. J., </w:t>
      </w:r>
      <w:proofErr w:type="spellStart"/>
      <w:r w:rsidRPr="00E852BB">
        <w:rPr>
          <w:rFonts w:ascii="David" w:hAnsi="David" w:cs="David"/>
          <w:sz w:val="24"/>
          <w:szCs w:val="24"/>
        </w:rPr>
        <w:t>Selmser</w:t>
      </w:r>
      <w:proofErr w:type="spellEnd"/>
      <w:r w:rsidRPr="00E852BB">
        <w:rPr>
          <w:rFonts w:ascii="David" w:hAnsi="David" w:cs="David"/>
          <w:sz w:val="24"/>
          <w:szCs w:val="24"/>
        </w:rPr>
        <w:t xml:space="preserve">, P., &amp; Macmillan, K. (1991). The Edmonton Symptom Assessment System (ESAS): A simple method for the assessment of palliative care patients. </w:t>
      </w:r>
      <w:r w:rsidRPr="00E852BB">
        <w:rPr>
          <w:rStyle w:val="aa"/>
          <w:rFonts w:ascii="David" w:hAnsi="David" w:cs="David"/>
          <w:sz w:val="24"/>
          <w:szCs w:val="24"/>
        </w:rPr>
        <w:t>Journal of Palliative Care, 7</w:t>
      </w:r>
      <w:r w:rsidRPr="00E852BB">
        <w:rPr>
          <w:rFonts w:ascii="David" w:hAnsi="David" w:cs="David"/>
          <w:sz w:val="24"/>
          <w:szCs w:val="24"/>
        </w:rPr>
        <w:t>(2), 6-9.</w:t>
      </w:r>
    </w:p>
    <w:p w:rsidR="00B62F50" w:rsidRPr="00E852BB" w:rsidRDefault="00B62F50" w:rsidP="00B62F50">
      <w:pPr>
        <w:spacing w:after="120" w:line="240" w:lineRule="auto"/>
        <w:ind w:left="425" w:hanging="425"/>
        <w:rPr>
          <w:rFonts w:ascii="David" w:hAnsi="David" w:cs="David"/>
          <w:sz w:val="24"/>
          <w:szCs w:val="24"/>
          <w:rtl/>
        </w:rPr>
      </w:pPr>
      <w:r w:rsidRPr="00E852BB">
        <w:rPr>
          <w:rFonts w:ascii="David" w:hAnsi="David" w:cs="David"/>
          <w:color w:val="222222"/>
          <w:sz w:val="24"/>
          <w:szCs w:val="24"/>
        </w:rPr>
        <w:t xml:space="preserve">Javier, N. S., &amp; </w:t>
      </w:r>
      <w:proofErr w:type="spellStart"/>
      <w:r w:rsidRPr="00E852BB">
        <w:rPr>
          <w:rFonts w:ascii="David" w:hAnsi="David" w:cs="David"/>
          <w:color w:val="222222"/>
          <w:sz w:val="24"/>
          <w:szCs w:val="24"/>
        </w:rPr>
        <w:t>Montagnini</w:t>
      </w:r>
      <w:proofErr w:type="spellEnd"/>
      <w:r w:rsidRPr="00E852BB">
        <w:rPr>
          <w:rFonts w:ascii="David" w:hAnsi="David" w:cs="David"/>
          <w:color w:val="222222"/>
          <w:sz w:val="24"/>
          <w:szCs w:val="24"/>
        </w:rPr>
        <w:t xml:space="preserve">, M. L. (2011). Rehabilitation of the hospice and palliative care patient. </w:t>
      </w:r>
      <w:r w:rsidRPr="00E852BB">
        <w:rPr>
          <w:rFonts w:ascii="David" w:hAnsi="David" w:cs="David"/>
          <w:i/>
          <w:iCs/>
          <w:color w:val="222222"/>
          <w:sz w:val="24"/>
          <w:szCs w:val="24"/>
        </w:rPr>
        <w:t>Journal of palliative medicine</w:t>
      </w:r>
      <w:r w:rsidRPr="00E852BB">
        <w:rPr>
          <w:rFonts w:ascii="David" w:hAnsi="David" w:cs="David"/>
          <w:color w:val="222222"/>
          <w:sz w:val="24"/>
          <w:szCs w:val="24"/>
        </w:rPr>
        <w:t xml:space="preserve">, </w:t>
      </w:r>
      <w:r w:rsidRPr="00E852BB">
        <w:rPr>
          <w:rFonts w:ascii="David" w:hAnsi="David" w:cs="David"/>
          <w:i/>
          <w:iCs/>
          <w:color w:val="222222"/>
          <w:sz w:val="24"/>
          <w:szCs w:val="24"/>
        </w:rPr>
        <w:t>14</w:t>
      </w:r>
      <w:r w:rsidRPr="00E852BB">
        <w:rPr>
          <w:rFonts w:ascii="David" w:hAnsi="David" w:cs="David"/>
          <w:color w:val="222222"/>
          <w:sz w:val="24"/>
          <w:szCs w:val="24"/>
        </w:rPr>
        <w:t>(5), 638-648.</w:t>
      </w:r>
    </w:p>
    <w:p w:rsidR="00B62F50" w:rsidRPr="00E852BB" w:rsidRDefault="00B62F50" w:rsidP="00B62F50">
      <w:pPr>
        <w:spacing w:after="120" w:line="240" w:lineRule="auto"/>
        <w:ind w:left="425" w:hanging="425"/>
        <w:rPr>
          <w:rFonts w:ascii="David" w:hAnsi="David" w:cs="David"/>
          <w:sz w:val="24"/>
          <w:szCs w:val="24"/>
          <w:rtl/>
        </w:rPr>
      </w:pPr>
      <w:r w:rsidRPr="00E852BB">
        <w:rPr>
          <w:rFonts w:ascii="David" w:hAnsi="David" w:cs="David"/>
          <w:sz w:val="24"/>
          <w:szCs w:val="24"/>
        </w:rPr>
        <w:t xml:space="preserve">Kelley, A. S., &amp; Meier, D. E. (2010). Palliative care—a shifting </w:t>
      </w:r>
      <w:proofErr w:type="gramStart"/>
      <w:r w:rsidRPr="00E852BB">
        <w:rPr>
          <w:rFonts w:ascii="David" w:hAnsi="David" w:cs="David"/>
          <w:sz w:val="24"/>
          <w:szCs w:val="24"/>
        </w:rPr>
        <w:t>paradigm.</w:t>
      </w:r>
      <w:r w:rsidRPr="00E852BB">
        <w:rPr>
          <w:rFonts w:ascii="David" w:hAnsi="David" w:cs="David"/>
          <w:sz w:val="24"/>
          <w:szCs w:val="24"/>
          <w:rtl/>
        </w:rPr>
        <w:t>‏</w:t>
      </w:r>
      <w:proofErr w:type="gramEnd"/>
      <w:r w:rsidRPr="00E852BB">
        <w:rPr>
          <w:rFonts w:ascii="David" w:hAnsi="David" w:cs="David"/>
          <w:sz w:val="24"/>
          <w:szCs w:val="24"/>
          <w:rtl/>
        </w:rPr>
        <w:t xml:space="preserve"> </w:t>
      </w:r>
      <w:r w:rsidRPr="00E852BB">
        <w:rPr>
          <w:rStyle w:val="citation"/>
          <w:rFonts w:ascii="David" w:hAnsi="David" w:cs="David"/>
          <w:sz w:val="24"/>
          <w:szCs w:val="24"/>
        </w:rPr>
        <w:t xml:space="preserve">N </w:t>
      </w:r>
      <w:proofErr w:type="spellStart"/>
      <w:r w:rsidRPr="00E852BB">
        <w:rPr>
          <w:rStyle w:val="citation"/>
          <w:rFonts w:ascii="David" w:hAnsi="David" w:cs="David"/>
          <w:sz w:val="24"/>
          <w:szCs w:val="24"/>
        </w:rPr>
        <w:t>Engl</w:t>
      </w:r>
      <w:proofErr w:type="spellEnd"/>
      <w:r w:rsidRPr="00E852BB">
        <w:rPr>
          <w:rStyle w:val="citation"/>
          <w:rFonts w:ascii="David" w:hAnsi="David" w:cs="David"/>
          <w:sz w:val="24"/>
          <w:szCs w:val="24"/>
        </w:rPr>
        <w:t xml:space="preserve"> J Med 2010; 363:781-782</w:t>
      </w:r>
    </w:p>
    <w:p w:rsidR="00B62F50" w:rsidRPr="00E852BB" w:rsidRDefault="00B62F50" w:rsidP="00B62F50">
      <w:pPr>
        <w:spacing w:after="120" w:line="240" w:lineRule="auto"/>
        <w:ind w:left="425" w:hanging="425"/>
        <w:rPr>
          <w:rFonts w:ascii="David" w:hAnsi="David" w:cs="David"/>
          <w:sz w:val="24"/>
          <w:szCs w:val="24"/>
        </w:rPr>
      </w:pPr>
      <w:r w:rsidRPr="00E852BB">
        <w:rPr>
          <w:rFonts w:ascii="David" w:hAnsi="David" w:cs="David"/>
          <w:sz w:val="24"/>
          <w:szCs w:val="24"/>
        </w:rPr>
        <w:t xml:space="preserve">Lynn, J., &amp; Adamson, D. M. (2003). </w:t>
      </w:r>
      <w:r w:rsidRPr="00E852BB">
        <w:rPr>
          <w:rFonts w:ascii="David" w:hAnsi="David" w:cs="David"/>
          <w:i/>
          <w:iCs/>
          <w:sz w:val="24"/>
          <w:szCs w:val="24"/>
        </w:rPr>
        <w:t>Living well at the end of life. Adapting health care to serious chronic illness in old age</w:t>
      </w:r>
      <w:r w:rsidRPr="00E852BB">
        <w:rPr>
          <w:rFonts w:ascii="David" w:hAnsi="David" w:cs="David"/>
          <w:sz w:val="24"/>
          <w:szCs w:val="24"/>
        </w:rPr>
        <w:t>. RAND CORP SANTA MONICA CA.</w:t>
      </w:r>
      <w:r w:rsidRPr="00E852BB">
        <w:rPr>
          <w:rFonts w:ascii="David" w:hAnsi="David" w:cs="David"/>
          <w:sz w:val="24"/>
          <w:szCs w:val="24"/>
          <w:rtl/>
        </w:rPr>
        <w:t>‏</w:t>
      </w:r>
    </w:p>
    <w:p w:rsidR="00B62F50" w:rsidRPr="00E852BB" w:rsidRDefault="00B62F50" w:rsidP="00B62F50">
      <w:pPr>
        <w:spacing w:after="120" w:line="240" w:lineRule="auto"/>
        <w:ind w:left="425" w:hanging="425"/>
        <w:rPr>
          <w:rFonts w:ascii="David" w:hAnsi="David" w:cs="David"/>
          <w:sz w:val="24"/>
          <w:szCs w:val="24"/>
        </w:rPr>
      </w:pPr>
      <w:r w:rsidRPr="00E852BB">
        <w:rPr>
          <w:rFonts w:ascii="David" w:hAnsi="David" w:cs="David"/>
          <w:color w:val="222222"/>
          <w:sz w:val="24"/>
          <w:szCs w:val="24"/>
        </w:rPr>
        <w:t xml:space="preserve">Malcolm, L., Mein, G., Jones, A., Talbot-Rice, H., </w:t>
      </w:r>
      <w:proofErr w:type="spellStart"/>
      <w:r w:rsidRPr="00E852BB">
        <w:rPr>
          <w:rFonts w:ascii="David" w:hAnsi="David" w:cs="David"/>
          <w:color w:val="222222"/>
          <w:sz w:val="24"/>
          <w:szCs w:val="24"/>
        </w:rPr>
        <w:t>Maddocks</w:t>
      </w:r>
      <w:proofErr w:type="spellEnd"/>
      <w:r w:rsidRPr="00E852BB">
        <w:rPr>
          <w:rFonts w:ascii="David" w:hAnsi="David" w:cs="David"/>
          <w:color w:val="222222"/>
          <w:sz w:val="24"/>
          <w:szCs w:val="24"/>
        </w:rPr>
        <w:t xml:space="preserve">, M., &amp; </w:t>
      </w:r>
      <w:proofErr w:type="spellStart"/>
      <w:r w:rsidRPr="00E852BB">
        <w:rPr>
          <w:rFonts w:ascii="David" w:hAnsi="David" w:cs="David"/>
          <w:color w:val="222222"/>
          <w:sz w:val="24"/>
          <w:szCs w:val="24"/>
        </w:rPr>
        <w:t>Bristowe</w:t>
      </w:r>
      <w:proofErr w:type="spellEnd"/>
      <w:r w:rsidRPr="00E852BB">
        <w:rPr>
          <w:rFonts w:ascii="David" w:hAnsi="David" w:cs="David"/>
          <w:color w:val="222222"/>
          <w:sz w:val="24"/>
          <w:szCs w:val="24"/>
        </w:rPr>
        <w:t xml:space="preserve">, K. (2016). Strength in numbers: patient experiences of group exercise within hospice palliative care. </w:t>
      </w:r>
      <w:r w:rsidRPr="00E852BB">
        <w:rPr>
          <w:rFonts w:ascii="David" w:hAnsi="David" w:cs="David"/>
          <w:i/>
          <w:iCs/>
          <w:color w:val="222222"/>
          <w:sz w:val="24"/>
          <w:szCs w:val="24"/>
        </w:rPr>
        <w:t>BMC palliative care</w:t>
      </w:r>
      <w:r w:rsidRPr="00E852BB">
        <w:rPr>
          <w:rFonts w:ascii="David" w:hAnsi="David" w:cs="David"/>
          <w:color w:val="222222"/>
          <w:sz w:val="24"/>
          <w:szCs w:val="24"/>
        </w:rPr>
        <w:t xml:space="preserve">, </w:t>
      </w:r>
      <w:r w:rsidRPr="00E852BB">
        <w:rPr>
          <w:rFonts w:ascii="David" w:hAnsi="David" w:cs="David"/>
          <w:i/>
          <w:iCs/>
          <w:color w:val="222222"/>
          <w:sz w:val="24"/>
          <w:szCs w:val="24"/>
        </w:rPr>
        <w:t>15</w:t>
      </w:r>
      <w:r w:rsidRPr="00E852BB">
        <w:rPr>
          <w:rFonts w:ascii="David" w:hAnsi="David" w:cs="David"/>
          <w:color w:val="222222"/>
          <w:sz w:val="24"/>
          <w:szCs w:val="24"/>
        </w:rPr>
        <w:t>(1), 97.</w:t>
      </w:r>
    </w:p>
    <w:p w:rsidR="00B62F50" w:rsidRPr="00E852BB" w:rsidRDefault="00B62F50" w:rsidP="00B62F50">
      <w:pPr>
        <w:spacing w:after="120" w:line="240" w:lineRule="auto"/>
        <w:ind w:left="425" w:hanging="425"/>
        <w:rPr>
          <w:rFonts w:ascii="David" w:hAnsi="David" w:cs="David"/>
          <w:sz w:val="24"/>
          <w:szCs w:val="24"/>
          <w:rtl/>
        </w:rPr>
      </w:pPr>
      <w:r w:rsidRPr="00E852BB">
        <w:rPr>
          <w:rFonts w:ascii="David" w:hAnsi="David" w:cs="David"/>
          <w:sz w:val="24"/>
          <w:szCs w:val="24"/>
        </w:rPr>
        <w:t xml:space="preserve">Murray, S. A., Kendall, M., Boyd, K., Worth, A., &amp; Benton, T. F. (2004). Exploring the spiritual needs of people dying of lung cancer or heart failure: a prospective qualitative interview study of patients and their </w:t>
      </w:r>
      <w:proofErr w:type="spellStart"/>
      <w:r w:rsidRPr="00E852BB">
        <w:rPr>
          <w:rFonts w:ascii="David" w:hAnsi="David" w:cs="David"/>
          <w:sz w:val="24"/>
          <w:szCs w:val="24"/>
        </w:rPr>
        <w:t>carers</w:t>
      </w:r>
      <w:proofErr w:type="spellEnd"/>
      <w:r w:rsidRPr="00E852BB">
        <w:rPr>
          <w:rFonts w:ascii="David" w:hAnsi="David" w:cs="David"/>
          <w:sz w:val="24"/>
          <w:szCs w:val="24"/>
        </w:rPr>
        <w:t xml:space="preserve">. </w:t>
      </w:r>
      <w:r w:rsidRPr="00E852BB">
        <w:rPr>
          <w:rFonts w:ascii="David" w:hAnsi="David" w:cs="David"/>
          <w:i/>
          <w:iCs/>
          <w:sz w:val="24"/>
          <w:szCs w:val="24"/>
        </w:rPr>
        <w:t>Palliative medicine</w:t>
      </w:r>
      <w:r w:rsidRPr="00E852BB">
        <w:rPr>
          <w:rFonts w:ascii="David" w:hAnsi="David" w:cs="David"/>
          <w:sz w:val="24"/>
          <w:szCs w:val="24"/>
        </w:rPr>
        <w:t xml:space="preserve">, </w:t>
      </w:r>
      <w:r w:rsidRPr="00E852BB">
        <w:rPr>
          <w:rFonts w:ascii="David" w:hAnsi="David" w:cs="David"/>
          <w:i/>
          <w:iCs/>
          <w:sz w:val="24"/>
          <w:szCs w:val="24"/>
        </w:rPr>
        <w:t>18</w:t>
      </w:r>
      <w:r w:rsidRPr="00E852BB">
        <w:rPr>
          <w:rFonts w:ascii="David" w:hAnsi="David" w:cs="David"/>
          <w:sz w:val="24"/>
          <w:szCs w:val="24"/>
        </w:rPr>
        <w:t>(1), 39-</w:t>
      </w:r>
      <w:proofErr w:type="gramStart"/>
      <w:r w:rsidRPr="00E852BB">
        <w:rPr>
          <w:rFonts w:ascii="David" w:hAnsi="David" w:cs="David"/>
          <w:sz w:val="24"/>
          <w:szCs w:val="24"/>
        </w:rPr>
        <w:t>45.</w:t>
      </w:r>
      <w:r w:rsidRPr="00E852BB">
        <w:rPr>
          <w:rFonts w:ascii="David" w:hAnsi="David" w:cs="David"/>
          <w:sz w:val="24"/>
          <w:szCs w:val="24"/>
          <w:rtl/>
        </w:rPr>
        <w:t>‏</w:t>
      </w:r>
      <w:proofErr w:type="gramEnd"/>
    </w:p>
    <w:p w:rsidR="00B62F50" w:rsidRPr="00E852BB" w:rsidRDefault="00B62F50" w:rsidP="00B62F50">
      <w:pPr>
        <w:spacing w:after="120" w:line="240" w:lineRule="auto"/>
        <w:ind w:left="425" w:hanging="425"/>
        <w:jc w:val="right"/>
        <w:rPr>
          <w:rFonts w:ascii="David" w:eastAsia="Times New Roman" w:hAnsi="David" w:cs="David"/>
          <w:sz w:val="24"/>
          <w:szCs w:val="24"/>
        </w:rPr>
      </w:pPr>
      <w:proofErr w:type="spellStart"/>
      <w:r w:rsidRPr="00E852BB">
        <w:rPr>
          <w:rFonts w:ascii="David" w:eastAsia="Times New Roman" w:hAnsi="David" w:cs="David"/>
          <w:sz w:val="24"/>
          <w:szCs w:val="24"/>
        </w:rPr>
        <w:t>Pefoyo</w:t>
      </w:r>
      <w:proofErr w:type="spellEnd"/>
      <w:r w:rsidRPr="00E852BB">
        <w:rPr>
          <w:rFonts w:ascii="David" w:eastAsia="Times New Roman" w:hAnsi="David" w:cs="David"/>
          <w:sz w:val="24"/>
          <w:szCs w:val="24"/>
        </w:rPr>
        <w:t xml:space="preserve">, A. J. K., </w:t>
      </w:r>
      <w:proofErr w:type="spellStart"/>
      <w:r w:rsidRPr="00E852BB">
        <w:rPr>
          <w:rFonts w:ascii="David" w:eastAsia="Times New Roman" w:hAnsi="David" w:cs="David"/>
          <w:sz w:val="24"/>
          <w:szCs w:val="24"/>
        </w:rPr>
        <w:t>Bronskill</w:t>
      </w:r>
      <w:proofErr w:type="spellEnd"/>
      <w:r w:rsidRPr="00E852BB">
        <w:rPr>
          <w:rFonts w:ascii="David" w:eastAsia="Times New Roman" w:hAnsi="David" w:cs="David"/>
          <w:sz w:val="24"/>
          <w:szCs w:val="24"/>
        </w:rPr>
        <w:t xml:space="preserve">, S. E., </w:t>
      </w:r>
      <w:proofErr w:type="spellStart"/>
      <w:r w:rsidRPr="00E852BB">
        <w:rPr>
          <w:rFonts w:ascii="David" w:eastAsia="Times New Roman" w:hAnsi="David" w:cs="David"/>
          <w:sz w:val="24"/>
          <w:szCs w:val="24"/>
        </w:rPr>
        <w:t>Gruneir</w:t>
      </w:r>
      <w:proofErr w:type="spellEnd"/>
      <w:r w:rsidRPr="00E852BB">
        <w:rPr>
          <w:rFonts w:ascii="David" w:eastAsia="Times New Roman" w:hAnsi="David" w:cs="David"/>
          <w:sz w:val="24"/>
          <w:szCs w:val="24"/>
        </w:rPr>
        <w:t xml:space="preserve">, A., </w:t>
      </w:r>
      <w:proofErr w:type="spellStart"/>
      <w:r w:rsidRPr="00E852BB">
        <w:rPr>
          <w:rFonts w:ascii="David" w:eastAsia="Times New Roman" w:hAnsi="David" w:cs="David"/>
          <w:sz w:val="24"/>
          <w:szCs w:val="24"/>
        </w:rPr>
        <w:t>Calzavara</w:t>
      </w:r>
      <w:proofErr w:type="spellEnd"/>
      <w:r w:rsidRPr="00E852BB">
        <w:rPr>
          <w:rFonts w:ascii="David" w:eastAsia="Times New Roman" w:hAnsi="David" w:cs="David"/>
          <w:sz w:val="24"/>
          <w:szCs w:val="24"/>
        </w:rPr>
        <w:t xml:space="preserve">, A., </w:t>
      </w:r>
      <w:proofErr w:type="spellStart"/>
      <w:r w:rsidRPr="00E852BB">
        <w:rPr>
          <w:rFonts w:ascii="David" w:eastAsia="Times New Roman" w:hAnsi="David" w:cs="David"/>
          <w:sz w:val="24"/>
          <w:szCs w:val="24"/>
        </w:rPr>
        <w:t>Thavorn</w:t>
      </w:r>
      <w:proofErr w:type="spellEnd"/>
      <w:r w:rsidRPr="00E852BB">
        <w:rPr>
          <w:rFonts w:ascii="David" w:eastAsia="Times New Roman" w:hAnsi="David" w:cs="David"/>
          <w:sz w:val="24"/>
          <w:szCs w:val="24"/>
        </w:rPr>
        <w:t xml:space="preserve">, K., </w:t>
      </w:r>
      <w:proofErr w:type="spellStart"/>
      <w:r w:rsidRPr="00E852BB">
        <w:rPr>
          <w:rFonts w:ascii="David" w:eastAsia="Times New Roman" w:hAnsi="David" w:cs="David"/>
          <w:sz w:val="24"/>
          <w:szCs w:val="24"/>
        </w:rPr>
        <w:t>Petrosyan</w:t>
      </w:r>
      <w:proofErr w:type="spellEnd"/>
      <w:r w:rsidRPr="00E852BB">
        <w:rPr>
          <w:rFonts w:ascii="David" w:eastAsia="Times New Roman" w:hAnsi="David" w:cs="David"/>
          <w:sz w:val="24"/>
          <w:szCs w:val="24"/>
        </w:rPr>
        <w:t xml:space="preserve">, Y., ... &amp; </w:t>
      </w:r>
      <w:proofErr w:type="spellStart"/>
      <w:r w:rsidRPr="00E852BB">
        <w:rPr>
          <w:rFonts w:ascii="David" w:eastAsia="Times New Roman" w:hAnsi="David" w:cs="David"/>
          <w:sz w:val="24"/>
          <w:szCs w:val="24"/>
        </w:rPr>
        <w:t>Wodchis</w:t>
      </w:r>
      <w:proofErr w:type="spellEnd"/>
      <w:r w:rsidRPr="00E852BB">
        <w:rPr>
          <w:rFonts w:ascii="David" w:eastAsia="Times New Roman" w:hAnsi="David" w:cs="David"/>
          <w:sz w:val="24"/>
          <w:szCs w:val="24"/>
        </w:rPr>
        <w:t xml:space="preserve">, W. P. (2015). The increasing burden and complexity of </w:t>
      </w:r>
      <w:proofErr w:type="spellStart"/>
      <w:r w:rsidRPr="00E852BB">
        <w:rPr>
          <w:rFonts w:ascii="David" w:eastAsia="Times New Roman" w:hAnsi="David" w:cs="David"/>
          <w:sz w:val="24"/>
          <w:szCs w:val="24"/>
        </w:rPr>
        <w:t>multimorbidity</w:t>
      </w:r>
      <w:proofErr w:type="spellEnd"/>
      <w:r w:rsidRPr="00E852BB">
        <w:rPr>
          <w:rFonts w:ascii="David" w:eastAsia="Times New Roman" w:hAnsi="David" w:cs="David"/>
          <w:sz w:val="24"/>
          <w:szCs w:val="24"/>
        </w:rPr>
        <w:t xml:space="preserve">. </w:t>
      </w:r>
      <w:r w:rsidRPr="00E852BB">
        <w:rPr>
          <w:rFonts w:ascii="David" w:eastAsia="Times New Roman" w:hAnsi="David" w:cs="David"/>
          <w:i/>
          <w:iCs/>
          <w:sz w:val="24"/>
          <w:szCs w:val="24"/>
        </w:rPr>
        <w:t>BMC Public Health</w:t>
      </w:r>
      <w:r w:rsidRPr="00E852BB">
        <w:rPr>
          <w:rFonts w:ascii="David" w:eastAsia="Times New Roman" w:hAnsi="David" w:cs="David"/>
          <w:sz w:val="24"/>
          <w:szCs w:val="24"/>
        </w:rPr>
        <w:t xml:space="preserve">, </w:t>
      </w:r>
      <w:r w:rsidRPr="00E852BB">
        <w:rPr>
          <w:rFonts w:ascii="David" w:eastAsia="Times New Roman" w:hAnsi="David" w:cs="David"/>
          <w:i/>
          <w:iCs/>
          <w:sz w:val="24"/>
          <w:szCs w:val="24"/>
        </w:rPr>
        <w:t>15</w:t>
      </w:r>
      <w:r w:rsidRPr="00E852BB">
        <w:rPr>
          <w:rFonts w:ascii="David" w:eastAsia="Times New Roman" w:hAnsi="David" w:cs="David"/>
          <w:sz w:val="24"/>
          <w:szCs w:val="24"/>
        </w:rPr>
        <w:t>(1), 415.</w:t>
      </w:r>
    </w:p>
    <w:p w:rsidR="00B62F50" w:rsidRPr="00E852BB" w:rsidRDefault="00B62F50" w:rsidP="00B62F50">
      <w:pPr>
        <w:spacing w:after="120" w:line="240" w:lineRule="auto"/>
        <w:ind w:left="425" w:hanging="425"/>
        <w:rPr>
          <w:rFonts w:ascii="David" w:hAnsi="David" w:cs="David"/>
          <w:sz w:val="24"/>
          <w:szCs w:val="24"/>
        </w:rPr>
      </w:pPr>
      <w:proofErr w:type="spellStart"/>
      <w:r w:rsidRPr="00E852BB">
        <w:rPr>
          <w:rFonts w:ascii="David" w:hAnsi="David" w:cs="David"/>
          <w:sz w:val="24"/>
          <w:szCs w:val="24"/>
        </w:rPr>
        <w:lastRenderedPageBreak/>
        <w:t>Reinke</w:t>
      </w:r>
      <w:proofErr w:type="spellEnd"/>
      <w:r w:rsidRPr="00E852BB">
        <w:rPr>
          <w:rFonts w:ascii="David" w:hAnsi="David" w:cs="David"/>
          <w:sz w:val="24"/>
          <w:szCs w:val="24"/>
        </w:rPr>
        <w:t xml:space="preserve">, L. F., &amp; Meier, D. E. (2017). Research Priorities in Subspecialty Palliative Care: Policy Initiatives. </w:t>
      </w:r>
      <w:r w:rsidRPr="00E852BB">
        <w:rPr>
          <w:rFonts w:ascii="David" w:hAnsi="David" w:cs="David"/>
          <w:i/>
          <w:iCs/>
          <w:sz w:val="24"/>
          <w:szCs w:val="24"/>
        </w:rPr>
        <w:t>Journal of Palliative Medicine</w:t>
      </w:r>
      <w:r w:rsidRPr="00E852BB">
        <w:rPr>
          <w:rFonts w:ascii="David" w:hAnsi="David" w:cs="David"/>
          <w:sz w:val="24"/>
          <w:szCs w:val="24"/>
        </w:rPr>
        <w:t xml:space="preserve">, </w:t>
      </w:r>
      <w:r w:rsidRPr="00E852BB">
        <w:rPr>
          <w:rFonts w:ascii="David" w:hAnsi="David" w:cs="David"/>
          <w:i/>
          <w:iCs/>
          <w:sz w:val="24"/>
          <w:szCs w:val="24"/>
        </w:rPr>
        <w:t>20</w:t>
      </w:r>
      <w:r w:rsidRPr="00E852BB">
        <w:rPr>
          <w:rFonts w:ascii="David" w:hAnsi="David" w:cs="David"/>
          <w:sz w:val="24"/>
          <w:szCs w:val="24"/>
        </w:rPr>
        <w:t>(8), 813-</w:t>
      </w:r>
      <w:proofErr w:type="gramStart"/>
      <w:r w:rsidRPr="00E852BB">
        <w:rPr>
          <w:rFonts w:ascii="David" w:hAnsi="David" w:cs="David"/>
          <w:sz w:val="24"/>
          <w:szCs w:val="24"/>
        </w:rPr>
        <w:t>820.</w:t>
      </w:r>
      <w:r w:rsidRPr="00E852BB">
        <w:rPr>
          <w:rFonts w:ascii="David" w:hAnsi="David" w:cs="David"/>
          <w:sz w:val="24"/>
          <w:szCs w:val="24"/>
          <w:rtl/>
        </w:rPr>
        <w:t>‏</w:t>
      </w:r>
      <w:proofErr w:type="gramEnd"/>
      <w:r w:rsidRPr="00E852BB">
        <w:rPr>
          <w:rFonts w:ascii="David" w:hAnsi="David" w:cs="David"/>
          <w:sz w:val="24"/>
          <w:szCs w:val="24"/>
        </w:rPr>
        <w:t xml:space="preserve"> </w:t>
      </w:r>
    </w:p>
    <w:p w:rsidR="00B62F50" w:rsidRPr="00E852BB" w:rsidRDefault="00B62F50" w:rsidP="00B62F50">
      <w:pPr>
        <w:spacing w:after="120" w:line="240" w:lineRule="auto"/>
        <w:ind w:left="425" w:hanging="425"/>
        <w:rPr>
          <w:rFonts w:ascii="David" w:eastAsia="Times New Roman" w:hAnsi="David" w:cs="David"/>
          <w:sz w:val="24"/>
          <w:szCs w:val="24"/>
        </w:rPr>
      </w:pPr>
      <w:proofErr w:type="spellStart"/>
      <w:r w:rsidRPr="00E852BB">
        <w:rPr>
          <w:rFonts w:ascii="David" w:hAnsi="David" w:cs="David"/>
          <w:sz w:val="24"/>
          <w:szCs w:val="24"/>
        </w:rPr>
        <w:t>Teno</w:t>
      </w:r>
      <w:proofErr w:type="spellEnd"/>
      <w:r w:rsidRPr="00E852BB">
        <w:rPr>
          <w:rFonts w:ascii="David" w:hAnsi="David" w:cs="David"/>
          <w:sz w:val="24"/>
          <w:szCs w:val="24"/>
        </w:rPr>
        <w:t xml:space="preserve">, J. M., </w:t>
      </w:r>
      <w:proofErr w:type="spellStart"/>
      <w:r w:rsidRPr="00E852BB">
        <w:rPr>
          <w:rFonts w:ascii="David" w:hAnsi="David" w:cs="David"/>
          <w:sz w:val="24"/>
          <w:szCs w:val="24"/>
        </w:rPr>
        <w:t>Weitzen</w:t>
      </w:r>
      <w:proofErr w:type="spellEnd"/>
      <w:r w:rsidRPr="00E852BB">
        <w:rPr>
          <w:rFonts w:ascii="David" w:hAnsi="David" w:cs="David"/>
          <w:sz w:val="24"/>
          <w:szCs w:val="24"/>
        </w:rPr>
        <w:t xml:space="preserve">, S., Fennell, M. L., &amp; Mor, V. (2001). Dying trajectory in the last year of life: does cancer trajectory fit other </w:t>
      </w:r>
      <w:proofErr w:type="gramStart"/>
      <w:r w:rsidRPr="00E852BB">
        <w:rPr>
          <w:rFonts w:ascii="David" w:hAnsi="David" w:cs="David"/>
          <w:sz w:val="24"/>
          <w:szCs w:val="24"/>
        </w:rPr>
        <w:t>diseases?.</w:t>
      </w:r>
      <w:proofErr w:type="gramEnd"/>
      <w:r w:rsidRPr="00E852BB">
        <w:rPr>
          <w:rFonts w:ascii="David" w:hAnsi="David" w:cs="David"/>
          <w:sz w:val="24"/>
          <w:szCs w:val="24"/>
        </w:rPr>
        <w:t xml:space="preserve"> </w:t>
      </w:r>
      <w:r w:rsidRPr="00E852BB">
        <w:rPr>
          <w:rFonts w:ascii="David" w:hAnsi="David" w:cs="David"/>
          <w:i/>
          <w:iCs/>
          <w:sz w:val="24"/>
          <w:szCs w:val="24"/>
        </w:rPr>
        <w:t>Journal of palliative medicine</w:t>
      </w:r>
      <w:r w:rsidRPr="00E852BB">
        <w:rPr>
          <w:rFonts w:ascii="David" w:hAnsi="David" w:cs="David"/>
          <w:sz w:val="24"/>
          <w:szCs w:val="24"/>
        </w:rPr>
        <w:t xml:space="preserve">, </w:t>
      </w:r>
      <w:r w:rsidRPr="00E852BB">
        <w:rPr>
          <w:rFonts w:ascii="David" w:hAnsi="David" w:cs="David"/>
          <w:i/>
          <w:iCs/>
          <w:sz w:val="24"/>
          <w:szCs w:val="24"/>
        </w:rPr>
        <w:t>4</w:t>
      </w:r>
      <w:r w:rsidRPr="00E852BB">
        <w:rPr>
          <w:rFonts w:ascii="David" w:hAnsi="David" w:cs="David"/>
          <w:sz w:val="24"/>
          <w:szCs w:val="24"/>
        </w:rPr>
        <w:t>(4), 457-</w:t>
      </w:r>
      <w:proofErr w:type="gramStart"/>
      <w:r w:rsidRPr="00E852BB">
        <w:rPr>
          <w:rFonts w:ascii="David" w:hAnsi="David" w:cs="David"/>
          <w:sz w:val="24"/>
          <w:szCs w:val="24"/>
        </w:rPr>
        <w:t>464.</w:t>
      </w:r>
      <w:r w:rsidRPr="00E852BB">
        <w:rPr>
          <w:rFonts w:ascii="David" w:hAnsi="David" w:cs="David"/>
          <w:sz w:val="24"/>
          <w:szCs w:val="24"/>
          <w:rtl/>
        </w:rPr>
        <w:t>‏</w:t>
      </w:r>
      <w:proofErr w:type="gramEnd"/>
    </w:p>
    <w:p w:rsidR="00B62F50" w:rsidRPr="00E852BB" w:rsidRDefault="00B62F50" w:rsidP="00B62F50">
      <w:pPr>
        <w:shd w:val="clear" w:color="auto" w:fill="FFFFFF"/>
        <w:spacing w:after="120" w:line="240" w:lineRule="auto"/>
        <w:ind w:left="425" w:hanging="425"/>
        <w:textAlignment w:val="baseline"/>
        <w:outlineLvl w:val="0"/>
        <w:rPr>
          <w:rFonts w:ascii="David" w:hAnsi="David" w:cs="David"/>
          <w:sz w:val="24"/>
          <w:szCs w:val="24"/>
        </w:rPr>
      </w:pPr>
      <w:proofErr w:type="spellStart"/>
      <w:r w:rsidRPr="00E852BB">
        <w:rPr>
          <w:rFonts w:ascii="David" w:eastAsia="Times New Roman" w:hAnsi="David" w:cs="David"/>
          <w:color w:val="222222"/>
          <w:sz w:val="24"/>
          <w:szCs w:val="24"/>
        </w:rPr>
        <w:t>Teno</w:t>
      </w:r>
      <w:proofErr w:type="spellEnd"/>
      <w:r w:rsidRPr="00E852BB">
        <w:rPr>
          <w:rFonts w:ascii="David" w:eastAsia="Times New Roman" w:hAnsi="David" w:cs="David"/>
          <w:color w:val="222222"/>
          <w:sz w:val="24"/>
          <w:szCs w:val="24"/>
        </w:rPr>
        <w:t xml:space="preserve">, J. M., </w:t>
      </w:r>
      <w:proofErr w:type="spellStart"/>
      <w:r w:rsidRPr="00E852BB">
        <w:rPr>
          <w:rFonts w:ascii="David" w:eastAsia="Times New Roman" w:hAnsi="David" w:cs="David"/>
          <w:color w:val="222222"/>
          <w:sz w:val="24"/>
          <w:szCs w:val="24"/>
        </w:rPr>
        <w:t>Gozalo</w:t>
      </w:r>
      <w:proofErr w:type="spellEnd"/>
      <w:r w:rsidRPr="00E852BB">
        <w:rPr>
          <w:rFonts w:ascii="David" w:eastAsia="Times New Roman" w:hAnsi="David" w:cs="David"/>
          <w:color w:val="222222"/>
          <w:sz w:val="24"/>
          <w:szCs w:val="24"/>
        </w:rPr>
        <w:t xml:space="preserve">, P. L., Bynum, J. P., Leland, N. E., Miller, S. C., </w:t>
      </w:r>
      <w:proofErr w:type="spellStart"/>
      <w:r w:rsidRPr="00E852BB">
        <w:rPr>
          <w:rFonts w:ascii="David" w:eastAsia="Times New Roman" w:hAnsi="David" w:cs="David"/>
          <w:color w:val="222222"/>
          <w:sz w:val="24"/>
          <w:szCs w:val="24"/>
        </w:rPr>
        <w:t>Morden</w:t>
      </w:r>
      <w:proofErr w:type="spellEnd"/>
      <w:r w:rsidRPr="00E852BB">
        <w:rPr>
          <w:rFonts w:ascii="David" w:eastAsia="Times New Roman" w:hAnsi="David" w:cs="David"/>
          <w:color w:val="222222"/>
          <w:sz w:val="24"/>
          <w:szCs w:val="24"/>
        </w:rPr>
        <w:t xml:space="preserve">, N. E., ... &amp; Mor, V. (2013). Change in end-of-life care for Medicare beneficiaries: site of death, place of care, and health care transitions in 2000, 2005, and 2009. </w:t>
      </w:r>
      <w:proofErr w:type="spellStart"/>
      <w:r w:rsidRPr="00E852BB">
        <w:rPr>
          <w:rFonts w:ascii="David" w:eastAsia="Times New Roman" w:hAnsi="David" w:cs="David"/>
          <w:i/>
          <w:iCs/>
          <w:color w:val="222222"/>
          <w:sz w:val="24"/>
          <w:szCs w:val="24"/>
        </w:rPr>
        <w:t>Jama</w:t>
      </w:r>
      <w:proofErr w:type="spellEnd"/>
      <w:r w:rsidRPr="00E852BB">
        <w:rPr>
          <w:rFonts w:ascii="David" w:eastAsia="Times New Roman" w:hAnsi="David" w:cs="David"/>
          <w:color w:val="222222"/>
          <w:sz w:val="24"/>
          <w:szCs w:val="24"/>
        </w:rPr>
        <w:t xml:space="preserve">, </w:t>
      </w:r>
      <w:r w:rsidRPr="00E852BB">
        <w:rPr>
          <w:rFonts w:ascii="David" w:eastAsia="Times New Roman" w:hAnsi="David" w:cs="David"/>
          <w:i/>
          <w:iCs/>
          <w:color w:val="222222"/>
          <w:sz w:val="24"/>
          <w:szCs w:val="24"/>
        </w:rPr>
        <w:t>309</w:t>
      </w:r>
      <w:r w:rsidRPr="00E852BB">
        <w:rPr>
          <w:rFonts w:ascii="David" w:eastAsia="Times New Roman" w:hAnsi="David" w:cs="David"/>
          <w:color w:val="222222"/>
          <w:sz w:val="24"/>
          <w:szCs w:val="24"/>
        </w:rPr>
        <w:t>(5), 470-</w:t>
      </w:r>
      <w:proofErr w:type="gramStart"/>
      <w:r w:rsidRPr="00E852BB">
        <w:rPr>
          <w:rFonts w:ascii="David" w:eastAsia="Times New Roman" w:hAnsi="David" w:cs="David"/>
          <w:color w:val="222222"/>
          <w:sz w:val="24"/>
          <w:szCs w:val="24"/>
        </w:rPr>
        <w:t>477.</w:t>
      </w:r>
      <w:r w:rsidRPr="00E852BB">
        <w:rPr>
          <w:rFonts w:ascii="David" w:eastAsia="Times New Roman" w:hAnsi="David" w:cs="David"/>
          <w:color w:val="222222"/>
          <w:sz w:val="24"/>
          <w:szCs w:val="24"/>
          <w:rtl/>
        </w:rPr>
        <w:t>‏</w:t>
      </w:r>
      <w:proofErr w:type="gramEnd"/>
    </w:p>
    <w:p w:rsidR="00B62F50" w:rsidRPr="00E852BB" w:rsidRDefault="00B62F50" w:rsidP="00B62F50">
      <w:pPr>
        <w:spacing w:after="0" w:line="264" w:lineRule="auto"/>
        <w:ind w:left="567" w:hanging="567"/>
        <w:rPr>
          <w:rFonts w:ascii="David" w:hAnsi="David" w:cs="David"/>
          <w:color w:val="222222"/>
          <w:sz w:val="24"/>
          <w:szCs w:val="24"/>
          <w:rtl/>
        </w:rPr>
      </w:pPr>
    </w:p>
    <w:p w:rsidR="00B62F50" w:rsidRPr="00E852BB" w:rsidRDefault="00B62F50" w:rsidP="00B62F50">
      <w:pPr>
        <w:spacing w:after="0" w:line="240" w:lineRule="auto"/>
        <w:ind w:left="709" w:hanging="709"/>
        <w:rPr>
          <w:rFonts w:ascii="David" w:eastAsia="Times New Roman" w:hAnsi="David" w:cs="David"/>
          <w:kern w:val="36"/>
          <w:sz w:val="24"/>
          <w:szCs w:val="24"/>
          <w:rtl/>
        </w:rPr>
      </w:pPr>
      <w:r w:rsidRPr="00E852BB">
        <w:rPr>
          <w:rFonts w:ascii="David" w:hAnsi="David" w:cs="David"/>
          <w:b/>
          <w:bCs/>
          <w:color w:val="222222"/>
          <w:sz w:val="24"/>
          <w:szCs w:val="24"/>
          <w:rtl/>
        </w:rPr>
        <w:t xml:space="preserve">מאמרים ופרסומים מישראל </w:t>
      </w:r>
    </w:p>
    <w:p w:rsidR="00B62F50" w:rsidRPr="00E852BB" w:rsidRDefault="00B62F50" w:rsidP="00B62F50">
      <w:pPr>
        <w:spacing w:after="0" w:line="240" w:lineRule="auto"/>
        <w:ind w:left="709" w:hanging="709"/>
        <w:rPr>
          <w:rFonts w:ascii="David" w:eastAsia="Times New Roman" w:hAnsi="David" w:cs="David"/>
          <w:kern w:val="36"/>
          <w:sz w:val="24"/>
          <w:szCs w:val="24"/>
          <w:rtl/>
        </w:rPr>
      </w:pPr>
    </w:p>
    <w:p w:rsidR="00B62F50" w:rsidRPr="00E852BB" w:rsidRDefault="00B62F50" w:rsidP="00B62F50">
      <w:pPr>
        <w:spacing w:after="120" w:line="240" w:lineRule="auto"/>
        <w:ind w:right="-476" w:hanging="284"/>
        <w:rPr>
          <w:rFonts w:ascii="David" w:eastAsia="Times New Roman" w:hAnsi="David" w:cs="David"/>
          <w:color w:val="222222"/>
          <w:sz w:val="24"/>
          <w:szCs w:val="24"/>
        </w:rPr>
      </w:pPr>
      <w:r w:rsidRPr="00E852BB">
        <w:rPr>
          <w:rFonts w:ascii="David" w:eastAsia="Times New Roman" w:hAnsi="David" w:cs="David"/>
          <w:color w:val="222222"/>
          <w:sz w:val="24"/>
          <w:szCs w:val="24"/>
        </w:rPr>
        <w:t xml:space="preserve">Bentur, N., Emanuel, L. L., &amp; </w:t>
      </w:r>
      <w:proofErr w:type="spellStart"/>
      <w:r w:rsidRPr="00E852BB">
        <w:rPr>
          <w:rFonts w:ascii="David" w:eastAsia="Times New Roman" w:hAnsi="David" w:cs="David"/>
          <w:color w:val="222222"/>
          <w:sz w:val="24"/>
          <w:szCs w:val="24"/>
        </w:rPr>
        <w:t>Cherney</w:t>
      </w:r>
      <w:proofErr w:type="spellEnd"/>
      <w:r w:rsidRPr="00E852BB">
        <w:rPr>
          <w:rFonts w:ascii="David" w:eastAsia="Times New Roman" w:hAnsi="David" w:cs="David"/>
          <w:color w:val="222222"/>
          <w:sz w:val="24"/>
          <w:szCs w:val="24"/>
        </w:rPr>
        <w:t xml:space="preserve">, N. (2012). Progress in palliative care in Israel: comparative mapping and next steps. </w:t>
      </w:r>
      <w:r w:rsidRPr="00E852BB">
        <w:rPr>
          <w:rFonts w:ascii="David" w:eastAsia="Times New Roman" w:hAnsi="David" w:cs="David"/>
          <w:i/>
          <w:iCs/>
          <w:color w:val="222222"/>
          <w:sz w:val="24"/>
          <w:szCs w:val="24"/>
        </w:rPr>
        <w:t>Israel journal of health policy research</w:t>
      </w:r>
      <w:r w:rsidRPr="00E852BB">
        <w:rPr>
          <w:rFonts w:ascii="David" w:eastAsia="Times New Roman" w:hAnsi="David" w:cs="David"/>
          <w:color w:val="222222"/>
          <w:sz w:val="24"/>
          <w:szCs w:val="24"/>
        </w:rPr>
        <w:t xml:space="preserve">, </w:t>
      </w:r>
      <w:r w:rsidRPr="00E852BB">
        <w:rPr>
          <w:rFonts w:ascii="David" w:eastAsia="Times New Roman" w:hAnsi="David" w:cs="David"/>
          <w:i/>
          <w:iCs/>
          <w:color w:val="222222"/>
          <w:sz w:val="24"/>
          <w:szCs w:val="24"/>
        </w:rPr>
        <w:t>1</w:t>
      </w:r>
      <w:r w:rsidRPr="00E852BB">
        <w:rPr>
          <w:rFonts w:ascii="David" w:eastAsia="Times New Roman" w:hAnsi="David" w:cs="David"/>
          <w:color w:val="222222"/>
          <w:sz w:val="24"/>
          <w:szCs w:val="24"/>
        </w:rPr>
        <w:t xml:space="preserve">(1), </w:t>
      </w:r>
      <w:proofErr w:type="gramStart"/>
      <w:r w:rsidRPr="00E852BB">
        <w:rPr>
          <w:rFonts w:ascii="David" w:eastAsia="Times New Roman" w:hAnsi="David" w:cs="David"/>
          <w:color w:val="222222"/>
          <w:sz w:val="24"/>
          <w:szCs w:val="24"/>
        </w:rPr>
        <w:t>9.</w:t>
      </w:r>
      <w:r w:rsidRPr="00E852BB">
        <w:rPr>
          <w:rFonts w:ascii="David" w:eastAsia="Times New Roman" w:hAnsi="David" w:cs="David"/>
          <w:color w:val="222222"/>
          <w:sz w:val="24"/>
          <w:szCs w:val="24"/>
          <w:rtl/>
        </w:rPr>
        <w:t>‏</w:t>
      </w:r>
      <w:proofErr w:type="gramEnd"/>
    </w:p>
    <w:p w:rsidR="00B62F50" w:rsidRPr="00E852BB" w:rsidRDefault="00B62F50" w:rsidP="00B62F50">
      <w:pPr>
        <w:spacing w:after="120" w:line="240" w:lineRule="auto"/>
        <w:ind w:right="-476" w:hanging="284"/>
        <w:rPr>
          <w:rFonts w:ascii="David" w:eastAsia="Times New Roman" w:hAnsi="David" w:cs="David"/>
          <w:color w:val="222222"/>
          <w:sz w:val="24"/>
          <w:szCs w:val="24"/>
          <w:rtl/>
        </w:rPr>
      </w:pPr>
      <w:r w:rsidRPr="00E852BB">
        <w:rPr>
          <w:rFonts w:ascii="David" w:eastAsia="Times New Roman" w:hAnsi="David" w:cs="David"/>
          <w:color w:val="222222"/>
          <w:sz w:val="24"/>
          <w:szCs w:val="24"/>
        </w:rPr>
        <w:t xml:space="preserve">Singer, Y., </w:t>
      </w:r>
      <w:proofErr w:type="spellStart"/>
      <w:r w:rsidRPr="00E852BB">
        <w:rPr>
          <w:rFonts w:ascii="David" w:eastAsia="Times New Roman" w:hAnsi="David" w:cs="David"/>
          <w:color w:val="222222"/>
          <w:sz w:val="24"/>
          <w:szCs w:val="24"/>
        </w:rPr>
        <w:t>Bachner</w:t>
      </w:r>
      <w:proofErr w:type="spellEnd"/>
      <w:r w:rsidRPr="00E852BB">
        <w:rPr>
          <w:rFonts w:ascii="David" w:eastAsia="Times New Roman" w:hAnsi="David" w:cs="David"/>
          <w:color w:val="222222"/>
          <w:sz w:val="24"/>
          <w:szCs w:val="24"/>
        </w:rPr>
        <w:t xml:space="preserve">, Y. G., </w:t>
      </w:r>
      <w:proofErr w:type="spellStart"/>
      <w:r w:rsidRPr="00E852BB">
        <w:rPr>
          <w:rFonts w:ascii="David" w:eastAsia="Times New Roman" w:hAnsi="David" w:cs="David"/>
          <w:color w:val="222222"/>
          <w:sz w:val="24"/>
          <w:szCs w:val="24"/>
        </w:rPr>
        <w:t>Shvartzman</w:t>
      </w:r>
      <w:proofErr w:type="spellEnd"/>
      <w:r w:rsidRPr="00E852BB">
        <w:rPr>
          <w:rFonts w:ascii="David" w:eastAsia="Times New Roman" w:hAnsi="David" w:cs="David"/>
          <w:color w:val="222222"/>
          <w:sz w:val="24"/>
          <w:szCs w:val="24"/>
        </w:rPr>
        <w:t xml:space="preserve">, P., &amp; Carmel, S. (2005). Home death—the caregivers' experiences. </w:t>
      </w:r>
      <w:r w:rsidRPr="00E852BB">
        <w:rPr>
          <w:rFonts w:ascii="David" w:eastAsia="Times New Roman" w:hAnsi="David" w:cs="David"/>
          <w:i/>
          <w:iCs/>
          <w:color w:val="222222"/>
          <w:sz w:val="24"/>
          <w:szCs w:val="24"/>
        </w:rPr>
        <w:t>Journal of pain and symptom management</w:t>
      </w:r>
      <w:r w:rsidRPr="00E852BB">
        <w:rPr>
          <w:rFonts w:ascii="David" w:eastAsia="Times New Roman" w:hAnsi="David" w:cs="David"/>
          <w:color w:val="222222"/>
          <w:sz w:val="24"/>
          <w:szCs w:val="24"/>
        </w:rPr>
        <w:t xml:space="preserve">, </w:t>
      </w:r>
      <w:r w:rsidRPr="00E852BB">
        <w:rPr>
          <w:rFonts w:ascii="David" w:eastAsia="Times New Roman" w:hAnsi="David" w:cs="David"/>
          <w:i/>
          <w:iCs/>
          <w:color w:val="222222"/>
          <w:sz w:val="24"/>
          <w:szCs w:val="24"/>
        </w:rPr>
        <w:t>30</w:t>
      </w:r>
      <w:r w:rsidRPr="00E852BB">
        <w:rPr>
          <w:rFonts w:ascii="David" w:eastAsia="Times New Roman" w:hAnsi="David" w:cs="David"/>
          <w:color w:val="222222"/>
          <w:sz w:val="24"/>
          <w:szCs w:val="24"/>
        </w:rPr>
        <w:t>(1), 70-</w:t>
      </w:r>
      <w:proofErr w:type="gramStart"/>
      <w:r w:rsidRPr="00E852BB">
        <w:rPr>
          <w:rFonts w:ascii="David" w:eastAsia="Times New Roman" w:hAnsi="David" w:cs="David"/>
          <w:color w:val="222222"/>
          <w:sz w:val="24"/>
          <w:szCs w:val="24"/>
        </w:rPr>
        <w:t>74.</w:t>
      </w:r>
      <w:r w:rsidRPr="00E852BB">
        <w:rPr>
          <w:rFonts w:ascii="David" w:eastAsia="Times New Roman" w:hAnsi="David" w:cs="David"/>
          <w:color w:val="222222"/>
          <w:sz w:val="24"/>
          <w:szCs w:val="24"/>
          <w:rtl/>
        </w:rPr>
        <w:t>‏</w:t>
      </w:r>
      <w:proofErr w:type="gramEnd"/>
    </w:p>
    <w:p w:rsidR="00B62F50" w:rsidRPr="00E852BB" w:rsidRDefault="00B62F50" w:rsidP="00B62F50">
      <w:pPr>
        <w:spacing w:after="120" w:line="240" w:lineRule="auto"/>
        <w:ind w:right="-476" w:hanging="284"/>
        <w:rPr>
          <w:rFonts w:ascii="David" w:eastAsia="Times New Roman" w:hAnsi="David" w:cs="David"/>
          <w:color w:val="222222"/>
          <w:sz w:val="24"/>
          <w:szCs w:val="24"/>
        </w:rPr>
      </w:pPr>
      <w:proofErr w:type="spellStart"/>
      <w:r w:rsidRPr="00E852BB">
        <w:rPr>
          <w:rFonts w:ascii="David" w:eastAsia="Times New Roman" w:hAnsi="David" w:cs="David"/>
          <w:color w:val="222222"/>
          <w:sz w:val="24"/>
          <w:szCs w:val="24"/>
        </w:rPr>
        <w:t>Shnoor</w:t>
      </w:r>
      <w:proofErr w:type="spellEnd"/>
      <w:r w:rsidRPr="00E852BB">
        <w:rPr>
          <w:rFonts w:ascii="David" w:eastAsia="Times New Roman" w:hAnsi="David" w:cs="David"/>
          <w:color w:val="222222"/>
          <w:sz w:val="24"/>
          <w:szCs w:val="24"/>
        </w:rPr>
        <w:t xml:space="preserve">, Y., </w:t>
      </w:r>
      <w:proofErr w:type="spellStart"/>
      <w:r w:rsidRPr="00E852BB">
        <w:rPr>
          <w:rFonts w:ascii="David" w:eastAsia="Times New Roman" w:hAnsi="David" w:cs="David"/>
          <w:color w:val="222222"/>
          <w:sz w:val="24"/>
          <w:szCs w:val="24"/>
        </w:rPr>
        <w:t>Szlaifer</w:t>
      </w:r>
      <w:proofErr w:type="spellEnd"/>
      <w:r w:rsidRPr="00E852BB">
        <w:rPr>
          <w:rFonts w:ascii="David" w:eastAsia="Times New Roman" w:hAnsi="David" w:cs="David"/>
          <w:color w:val="222222"/>
          <w:sz w:val="24"/>
          <w:szCs w:val="24"/>
        </w:rPr>
        <w:t xml:space="preserve">, M., </w:t>
      </w:r>
      <w:proofErr w:type="spellStart"/>
      <w:r w:rsidRPr="00E852BB">
        <w:rPr>
          <w:rFonts w:ascii="David" w:eastAsia="Times New Roman" w:hAnsi="David" w:cs="David"/>
          <w:color w:val="222222"/>
          <w:sz w:val="24"/>
          <w:szCs w:val="24"/>
        </w:rPr>
        <w:t>Aoberman</w:t>
      </w:r>
      <w:proofErr w:type="spellEnd"/>
      <w:r w:rsidRPr="00E852BB">
        <w:rPr>
          <w:rFonts w:ascii="David" w:eastAsia="Times New Roman" w:hAnsi="David" w:cs="David"/>
          <w:color w:val="222222"/>
          <w:sz w:val="24"/>
          <w:szCs w:val="24"/>
        </w:rPr>
        <w:t xml:space="preserve">, A. S., &amp; Bentur, N. (2007). The cost of home hospice care for terminal patients in Israel. </w:t>
      </w:r>
      <w:r w:rsidRPr="00E852BB">
        <w:rPr>
          <w:rFonts w:ascii="David" w:eastAsia="Times New Roman" w:hAnsi="David" w:cs="David"/>
          <w:i/>
          <w:iCs/>
          <w:color w:val="222222"/>
          <w:sz w:val="24"/>
          <w:szCs w:val="24"/>
        </w:rPr>
        <w:t>American Journal of Hospice and Palliative Medicine®</w:t>
      </w:r>
      <w:r w:rsidRPr="00E852BB">
        <w:rPr>
          <w:rFonts w:ascii="David" w:eastAsia="Times New Roman" w:hAnsi="David" w:cs="David"/>
          <w:color w:val="222222"/>
          <w:sz w:val="24"/>
          <w:szCs w:val="24"/>
        </w:rPr>
        <w:t xml:space="preserve">, </w:t>
      </w:r>
      <w:r w:rsidRPr="00E852BB">
        <w:rPr>
          <w:rFonts w:ascii="David" w:eastAsia="Times New Roman" w:hAnsi="David" w:cs="David"/>
          <w:i/>
          <w:iCs/>
          <w:color w:val="222222"/>
          <w:sz w:val="24"/>
          <w:szCs w:val="24"/>
        </w:rPr>
        <w:t>24</w:t>
      </w:r>
      <w:r w:rsidRPr="00E852BB">
        <w:rPr>
          <w:rFonts w:ascii="David" w:eastAsia="Times New Roman" w:hAnsi="David" w:cs="David"/>
          <w:color w:val="222222"/>
          <w:sz w:val="24"/>
          <w:szCs w:val="24"/>
        </w:rPr>
        <w:t>(4), 284-</w:t>
      </w:r>
      <w:proofErr w:type="gramStart"/>
      <w:r w:rsidRPr="00E852BB">
        <w:rPr>
          <w:rFonts w:ascii="David" w:eastAsia="Times New Roman" w:hAnsi="David" w:cs="David"/>
          <w:color w:val="222222"/>
          <w:sz w:val="24"/>
          <w:szCs w:val="24"/>
        </w:rPr>
        <w:t>290.</w:t>
      </w:r>
      <w:r w:rsidRPr="00E852BB">
        <w:rPr>
          <w:rFonts w:ascii="David" w:eastAsia="Times New Roman" w:hAnsi="David" w:cs="David"/>
          <w:color w:val="222222"/>
          <w:sz w:val="24"/>
          <w:szCs w:val="24"/>
          <w:rtl/>
        </w:rPr>
        <w:t>‏</w:t>
      </w:r>
      <w:proofErr w:type="gramEnd"/>
    </w:p>
    <w:p w:rsidR="00B62F50" w:rsidRPr="00E852BB" w:rsidRDefault="00B62F50" w:rsidP="00B62F50">
      <w:pPr>
        <w:spacing w:after="120" w:line="240" w:lineRule="auto"/>
        <w:ind w:right="-476" w:hanging="284"/>
        <w:rPr>
          <w:rFonts w:ascii="David" w:eastAsia="Times New Roman" w:hAnsi="David" w:cs="David"/>
          <w:color w:val="222222"/>
          <w:sz w:val="24"/>
          <w:szCs w:val="24"/>
          <w:rtl/>
        </w:rPr>
      </w:pPr>
      <w:r w:rsidRPr="00E852BB">
        <w:rPr>
          <w:rFonts w:ascii="David" w:hAnsi="David" w:cs="David"/>
          <w:sz w:val="24"/>
          <w:szCs w:val="24"/>
        </w:rPr>
        <w:t xml:space="preserve">van der Steen, J. T., </w:t>
      </w:r>
      <w:proofErr w:type="spellStart"/>
      <w:r w:rsidRPr="00E852BB">
        <w:rPr>
          <w:rFonts w:ascii="David" w:hAnsi="David" w:cs="David"/>
          <w:sz w:val="24"/>
          <w:szCs w:val="24"/>
        </w:rPr>
        <w:t>Radbruch</w:t>
      </w:r>
      <w:proofErr w:type="spellEnd"/>
      <w:r w:rsidRPr="00E852BB">
        <w:rPr>
          <w:rFonts w:ascii="David" w:hAnsi="David" w:cs="David"/>
          <w:sz w:val="24"/>
          <w:szCs w:val="24"/>
        </w:rPr>
        <w:t xml:space="preserve">, L., </w:t>
      </w:r>
      <w:proofErr w:type="spellStart"/>
      <w:r w:rsidRPr="00E852BB">
        <w:rPr>
          <w:rFonts w:ascii="David" w:hAnsi="David" w:cs="David"/>
          <w:sz w:val="24"/>
          <w:szCs w:val="24"/>
        </w:rPr>
        <w:t>Hertogh</w:t>
      </w:r>
      <w:proofErr w:type="spellEnd"/>
      <w:r w:rsidRPr="00E852BB">
        <w:rPr>
          <w:rFonts w:ascii="David" w:hAnsi="David" w:cs="David"/>
          <w:sz w:val="24"/>
          <w:szCs w:val="24"/>
        </w:rPr>
        <w:t xml:space="preserve">, C. M., de Boer, M. E., Hughes, J. C., Larkin, P., ... &amp; Koopmans, R. T. (2014). White paper defining optimal palliative care in older people with dementia: </w:t>
      </w:r>
      <w:proofErr w:type="gramStart"/>
      <w:r w:rsidRPr="00E852BB">
        <w:rPr>
          <w:rFonts w:ascii="David" w:hAnsi="David" w:cs="David"/>
          <w:sz w:val="24"/>
          <w:szCs w:val="24"/>
        </w:rPr>
        <w:t>a</w:t>
      </w:r>
      <w:proofErr w:type="gramEnd"/>
      <w:r w:rsidRPr="00E852BB">
        <w:rPr>
          <w:rFonts w:ascii="David" w:hAnsi="David" w:cs="David"/>
          <w:sz w:val="24"/>
          <w:szCs w:val="24"/>
        </w:rPr>
        <w:t xml:space="preserve"> Delphi study and recommendations from the European Association for Palliative Care. </w:t>
      </w:r>
      <w:r w:rsidRPr="00E852BB">
        <w:rPr>
          <w:rFonts w:ascii="David" w:hAnsi="David" w:cs="David"/>
          <w:i/>
          <w:iCs/>
          <w:sz w:val="24"/>
          <w:szCs w:val="24"/>
        </w:rPr>
        <w:t>Palliative medicine</w:t>
      </w:r>
      <w:r w:rsidRPr="00E852BB">
        <w:rPr>
          <w:rFonts w:ascii="David" w:hAnsi="David" w:cs="David"/>
          <w:sz w:val="24"/>
          <w:szCs w:val="24"/>
        </w:rPr>
        <w:t xml:space="preserve">, </w:t>
      </w:r>
      <w:r w:rsidRPr="00E852BB">
        <w:rPr>
          <w:rFonts w:ascii="David" w:hAnsi="David" w:cs="David"/>
          <w:i/>
          <w:iCs/>
          <w:sz w:val="24"/>
          <w:szCs w:val="24"/>
        </w:rPr>
        <w:t>28</w:t>
      </w:r>
      <w:r w:rsidRPr="00E852BB">
        <w:rPr>
          <w:rFonts w:ascii="David" w:hAnsi="David" w:cs="David"/>
          <w:sz w:val="24"/>
          <w:szCs w:val="24"/>
        </w:rPr>
        <w:t>(3), 197-</w:t>
      </w:r>
      <w:proofErr w:type="gramStart"/>
      <w:r w:rsidRPr="00E852BB">
        <w:rPr>
          <w:rFonts w:ascii="David" w:hAnsi="David" w:cs="David"/>
          <w:sz w:val="24"/>
          <w:szCs w:val="24"/>
        </w:rPr>
        <w:t>209.</w:t>
      </w:r>
      <w:r w:rsidRPr="00E852BB">
        <w:rPr>
          <w:rFonts w:ascii="David" w:hAnsi="David" w:cs="David"/>
          <w:sz w:val="24"/>
          <w:szCs w:val="24"/>
          <w:rtl/>
        </w:rPr>
        <w:t>‏</w:t>
      </w:r>
      <w:proofErr w:type="gramEnd"/>
    </w:p>
    <w:p w:rsidR="00B62F50" w:rsidRPr="00E852BB" w:rsidRDefault="00B62F50" w:rsidP="00B62F50">
      <w:pPr>
        <w:spacing w:after="120" w:line="240" w:lineRule="auto"/>
        <w:ind w:right="-476" w:hanging="284"/>
        <w:rPr>
          <w:rFonts w:ascii="David" w:eastAsia="Times New Roman" w:hAnsi="David" w:cs="David"/>
          <w:color w:val="222222"/>
          <w:sz w:val="24"/>
          <w:szCs w:val="24"/>
        </w:rPr>
      </w:pPr>
    </w:p>
    <w:p w:rsidR="00B62F50" w:rsidRPr="00E852BB" w:rsidRDefault="00B62F50" w:rsidP="00B62F50">
      <w:pPr>
        <w:spacing w:after="120" w:line="240" w:lineRule="auto"/>
        <w:ind w:hanging="709"/>
        <w:rPr>
          <w:rFonts w:ascii="David" w:hAnsi="David" w:cs="David"/>
          <w:sz w:val="24"/>
          <w:szCs w:val="24"/>
          <w:rtl/>
        </w:rPr>
      </w:pPr>
      <w:r w:rsidRPr="00E852BB">
        <w:rPr>
          <w:rFonts w:ascii="David" w:hAnsi="David" w:cs="David"/>
          <w:sz w:val="24"/>
          <w:szCs w:val="24"/>
          <w:rtl/>
        </w:rPr>
        <w:t xml:space="preserve">בר-סלע, ג., בנטור, נ., </w:t>
      </w:r>
      <w:proofErr w:type="spellStart"/>
      <w:r w:rsidRPr="00E852BB">
        <w:rPr>
          <w:rFonts w:ascii="David" w:hAnsi="David" w:cs="David"/>
          <w:sz w:val="24"/>
          <w:szCs w:val="24"/>
          <w:rtl/>
        </w:rPr>
        <w:t>שולץ</w:t>
      </w:r>
      <w:proofErr w:type="spellEnd"/>
      <w:r w:rsidRPr="00E852BB">
        <w:rPr>
          <w:rFonts w:ascii="David" w:hAnsi="David" w:cs="David"/>
          <w:sz w:val="24"/>
          <w:szCs w:val="24"/>
          <w:rtl/>
        </w:rPr>
        <w:t xml:space="preserve">, מ., קורן, ב. (2014). ליווי רוחני בבתי חולים ובשירותי בריאות אחרים בישראל - מקצוע בהתהוות. הרפואה, כרך 153 , חוב' 5. </w:t>
      </w:r>
    </w:p>
    <w:p w:rsidR="00B62F50" w:rsidRPr="00E852BB" w:rsidRDefault="00B62F50" w:rsidP="00B62F50">
      <w:pPr>
        <w:spacing w:after="120" w:line="240" w:lineRule="auto"/>
        <w:ind w:hanging="709"/>
        <w:rPr>
          <w:rFonts w:ascii="David" w:hAnsi="David" w:cs="David"/>
          <w:sz w:val="24"/>
          <w:szCs w:val="24"/>
          <w:rtl/>
        </w:rPr>
      </w:pPr>
      <w:proofErr w:type="spellStart"/>
      <w:r w:rsidRPr="00E852BB">
        <w:rPr>
          <w:rFonts w:ascii="David" w:hAnsi="David" w:cs="David"/>
          <w:sz w:val="24"/>
          <w:szCs w:val="24"/>
          <w:rtl/>
        </w:rPr>
        <w:t>הרצברגר</w:t>
      </w:r>
      <w:proofErr w:type="spellEnd"/>
      <w:r w:rsidRPr="00E852BB">
        <w:rPr>
          <w:rFonts w:ascii="David" w:hAnsi="David" w:cs="David"/>
          <w:sz w:val="24"/>
          <w:szCs w:val="24"/>
          <w:rtl/>
        </w:rPr>
        <w:t xml:space="preserve">, ש., </w:t>
      </w:r>
      <w:proofErr w:type="spellStart"/>
      <w:r w:rsidRPr="00E852BB">
        <w:rPr>
          <w:rFonts w:ascii="David" w:hAnsi="David" w:cs="David"/>
          <w:sz w:val="24"/>
          <w:szCs w:val="24"/>
          <w:rtl/>
        </w:rPr>
        <w:t>רובינוב</w:t>
      </w:r>
      <w:proofErr w:type="spellEnd"/>
      <w:r w:rsidRPr="00E852BB">
        <w:rPr>
          <w:rFonts w:ascii="David" w:hAnsi="David" w:cs="David"/>
          <w:sz w:val="24"/>
          <w:szCs w:val="24"/>
          <w:rtl/>
        </w:rPr>
        <w:t xml:space="preserve">, א. (2009). קביעת טיפול בסוף החיים: בידי מי ההחלטה. הרפואה, כרך 148, חוב' 6. </w:t>
      </w:r>
    </w:p>
    <w:p w:rsidR="00B62F50" w:rsidRPr="00E852BB" w:rsidRDefault="00B62F50" w:rsidP="00B62F50">
      <w:pPr>
        <w:spacing w:after="120" w:line="240" w:lineRule="auto"/>
        <w:ind w:hanging="709"/>
        <w:rPr>
          <w:rFonts w:ascii="David" w:hAnsi="David" w:cs="David"/>
          <w:sz w:val="24"/>
          <w:szCs w:val="24"/>
          <w:rtl/>
        </w:rPr>
      </w:pPr>
      <w:r w:rsidRPr="00E852BB">
        <w:rPr>
          <w:rFonts w:ascii="David" w:hAnsi="David" w:cs="David"/>
          <w:sz w:val="24"/>
          <w:szCs w:val="24"/>
          <w:rtl/>
        </w:rPr>
        <w:t xml:space="preserve">זיו, א., תלמי, ר., גרי-כהן, מ., חן, ו. (2014). תמיכה רוחנית ברוח המגמות העכשוויות במערכת הבריאות בישראל. הרפואה, כרך 153, חוב' 11. </w:t>
      </w:r>
    </w:p>
    <w:p w:rsidR="00B62F50" w:rsidRPr="00E852BB" w:rsidRDefault="00B62F50" w:rsidP="00B62F50">
      <w:pPr>
        <w:spacing w:after="120" w:line="240" w:lineRule="auto"/>
        <w:ind w:hanging="709"/>
        <w:rPr>
          <w:rFonts w:ascii="David" w:hAnsi="David" w:cs="David"/>
          <w:sz w:val="24"/>
          <w:szCs w:val="24"/>
          <w:rtl/>
        </w:rPr>
      </w:pPr>
      <w:proofErr w:type="spellStart"/>
      <w:r w:rsidRPr="00E852BB">
        <w:rPr>
          <w:rFonts w:ascii="David" w:hAnsi="David" w:cs="David"/>
          <w:sz w:val="24"/>
          <w:szCs w:val="24"/>
          <w:rtl/>
        </w:rPr>
        <w:t>פוטשניק־פלד</w:t>
      </w:r>
      <w:proofErr w:type="spellEnd"/>
      <w:r w:rsidRPr="00E852BB">
        <w:rPr>
          <w:rFonts w:ascii="David" w:hAnsi="David" w:cs="David"/>
          <w:sz w:val="24"/>
          <w:szCs w:val="24"/>
          <w:rtl/>
        </w:rPr>
        <w:t xml:space="preserve">, י., ארד, מ., </w:t>
      </w:r>
      <w:proofErr w:type="spellStart"/>
      <w:r w:rsidRPr="00E852BB">
        <w:rPr>
          <w:rFonts w:ascii="David" w:hAnsi="David" w:cs="David"/>
          <w:sz w:val="24"/>
          <w:szCs w:val="24"/>
          <w:rtl/>
        </w:rPr>
        <w:t>פריימרק</w:t>
      </w:r>
      <w:proofErr w:type="spellEnd"/>
      <w:r w:rsidRPr="00E852BB">
        <w:rPr>
          <w:rFonts w:ascii="David" w:hAnsi="David" w:cs="David"/>
          <w:sz w:val="24"/>
          <w:szCs w:val="24"/>
          <w:rtl/>
        </w:rPr>
        <w:t xml:space="preserve"> ד.  (2009). טיפול תומך אשפוזי  (הוספיס) בחולים עם אי ספיקת לב סופנית ונחיצותו בישראל . הרפואה, כרך 150, חוב' 4 .</w:t>
      </w:r>
    </w:p>
    <w:p w:rsidR="00B62F50" w:rsidRPr="00E852BB" w:rsidRDefault="00B62F50" w:rsidP="00B62F50">
      <w:pPr>
        <w:spacing w:after="120" w:line="240" w:lineRule="auto"/>
        <w:ind w:hanging="709"/>
        <w:rPr>
          <w:rFonts w:ascii="David" w:hAnsi="David" w:cs="David"/>
          <w:b/>
          <w:bCs/>
          <w:sz w:val="24"/>
          <w:szCs w:val="24"/>
          <w:rtl/>
        </w:rPr>
      </w:pPr>
      <w:r w:rsidRPr="00E852BB">
        <w:rPr>
          <w:rFonts w:ascii="David" w:hAnsi="David" w:cs="David"/>
          <w:sz w:val="24"/>
          <w:szCs w:val="24"/>
          <w:rtl/>
        </w:rPr>
        <w:t xml:space="preserve">רז, א., </w:t>
      </w:r>
      <w:proofErr w:type="spellStart"/>
      <w:r w:rsidRPr="00E852BB">
        <w:rPr>
          <w:rFonts w:ascii="David" w:hAnsi="David" w:cs="David"/>
          <w:sz w:val="24"/>
          <w:szCs w:val="24"/>
          <w:rtl/>
        </w:rPr>
        <w:t>פיסטרס</w:t>
      </w:r>
      <w:proofErr w:type="spellEnd"/>
      <w:r w:rsidRPr="00E852BB">
        <w:rPr>
          <w:rFonts w:ascii="David" w:hAnsi="David" w:cs="David"/>
          <w:sz w:val="24"/>
          <w:szCs w:val="24"/>
          <w:rtl/>
        </w:rPr>
        <w:t xml:space="preserve"> ל.ל., </w:t>
      </w:r>
      <w:proofErr w:type="spellStart"/>
      <w:r w:rsidRPr="00E852BB">
        <w:rPr>
          <w:rFonts w:ascii="David" w:hAnsi="David" w:cs="David"/>
          <w:sz w:val="24"/>
          <w:szCs w:val="24"/>
          <w:rtl/>
        </w:rPr>
        <w:t>ספיס</w:t>
      </w:r>
      <w:proofErr w:type="spellEnd"/>
      <w:r w:rsidRPr="00E852BB">
        <w:rPr>
          <w:rFonts w:ascii="David" w:hAnsi="David" w:cs="David"/>
          <w:sz w:val="24"/>
          <w:szCs w:val="24"/>
          <w:rtl/>
        </w:rPr>
        <w:t xml:space="preserve">, פ., א. </w:t>
      </w:r>
      <w:proofErr w:type="spellStart"/>
      <w:r w:rsidRPr="00E852BB">
        <w:rPr>
          <w:rFonts w:ascii="David" w:hAnsi="David" w:cs="David"/>
          <w:sz w:val="24"/>
          <w:szCs w:val="24"/>
          <w:rtl/>
        </w:rPr>
        <w:t>לינדר</w:t>
      </w:r>
      <w:proofErr w:type="spellEnd"/>
      <w:r w:rsidRPr="00E852BB">
        <w:rPr>
          <w:rFonts w:ascii="David" w:hAnsi="David" w:cs="David"/>
          <w:sz w:val="24"/>
          <w:szCs w:val="24"/>
          <w:rtl/>
        </w:rPr>
        <w:t xml:space="preserve">, א., </w:t>
      </w:r>
      <w:proofErr w:type="spellStart"/>
      <w:r w:rsidRPr="00E852BB">
        <w:rPr>
          <w:rFonts w:ascii="David" w:hAnsi="David" w:cs="David"/>
          <w:sz w:val="24"/>
          <w:szCs w:val="24"/>
          <w:rtl/>
        </w:rPr>
        <w:t>ליבוביץ</w:t>
      </w:r>
      <w:proofErr w:type="spellEnd"/>
      <w:r w:rsidRPr="00E852BB">
        <w:rPr>
          <w:rFonts w:ascii="David" w:hAnsi="David" w:cs="David"/>
          <w:sz w:val="24"/>
          <w:szCs w:val="24"/>
          <w:rtl/>
        </w:rPr>
        <w:t xml:space="preserve"> א.  (2009). ניתוחים </w:t>
      </w:r>
      <w:proofErr w:type="spellStart"/>
      <w:r w:rsidRPr="00E852BB">
        <w:rPr>
          <w:rFonts w:ascii="David" w:hAnsi="David" w:cs="David"/>
          <w:sz w:val="24"/>
          <w:szCs w:val="24"/>
          <w:rtl/>
        </w:rPr>
        <w:t>פליאטיביים</w:t>
      </w:r>
      <w:proofErr w:type="spellEnd"/>
      <w:r w:rsidRPr="00E852BB">
        <w:rPr>
          <w:rFonts w:ascii="David" w:hAnsi="David" w:cs="David"/>
          <w:sz w:val="24"/>
          <w:szCs w:val="24"/>
          <w:rtl/>
        </w:rPr>
        <w:t xml:space="preserve"> לסרטן ערמונית מקומי חודרני. הרפואה, כרך 148, חוב'</w:t>
      </w:r>
      <w:r w:rsidRPr="00E852BB">
        <w:rPr>
          <w:rFonts w:ascii="David" w:hAnsi="David" w:cs="David"/>
          <w:b/>
          <w:bCs/>
          <w:sz w:val="24"/>
          <w:szCs w:val="24"/>
          <w:rtl/>
        </w:rPr>
        <w:t xml:space="preserve"> 8.</w:t>
      </w:r>
    </w:p>
    <w:p w:rsidR="00B62F50" w:rsidRPr="00E852BB" w:rsidRDefault="00B62F50" w:rsidP="00B62F50">
      <w:pPr>
        <w:spacing w:after="120" w:line="240" w:lineRule="auto"/>
        <w:ind w:hanging="709"/>
        <w:rPr>
          <w:rFonts w:ascii="David" w:hAnsi="David" w:cs="David"/>
          <w:sz w:val="24"/>
          <w:szCs w:val="24"/>
          <w:rtl/>
        </w:rPr>
      </w:pPr>
      <w:r w:rsidRPr="00E852BB">
        <w:rPr>
          <w:rFonts w:ascii="David" w:hAnsi="David" w:cs="David"/>
          <w:sz w:val="24"/>
          <w:szCs w:val="24"/>
          <w:rtl/>
        </w:rPr>
        <w:t xml:space="preserve">שוורצמן, פ., </w:t>
      </w:r>
      <w:proofErr w:type="spellStart"/>
      <w:r w:rsidRPr="00E852BB">
        <w:rPr>
          <w:rFonts w:ascii="David" w:hAnsi="David" w:cs="David"/>
          <w:sz w:val="24"/>
          <w:szCs w:val="24"/>
          <w:rtl/>
        </w:rPr>
        <w:t>סמסון</w:t>
      </w:r>
      <w:proofErr w:type="spellEnd"/>
      <w:r w:rsidRPr="00E852BB">
        <w:rPr>
          <w:rFonts w:ascii="David" w:hAnsi="David" w:cs="David"/>
          <w:sz w:val="24"/>
          <w:szCs w:val="24"/>
          <w:rtl/>
        </w:rPr>
        <w:t>, ט. (2012). טראומטיזציה משנית בקרב עובדים ביחידות לטיפול מקל (</w:t>
      </w:r>
      <w:proofErr w:type="spellStart"/>
      <w:r w:rsidRPr="00E852BB">
        <w:rPr>
          <w:rFonts w:ascii="David" w:hAnsi="David" w:cs="David"/>
          <w:sz w:val="24"/>
          <w:szCs w:val="24"/>
          <w:rtl/>
        </w:rPr>
        <w:t>פליאטיבי</w:t>
      </w:r>
      <w:proofErr w:type="spellEnd"/>
      <w:r w:rsidRPr="00E852BB">
        <w:rPr>
          <w:rFonts w:ascii="David" w:hAnsi="David" w:cs="David"/>
          <w:sz w:val="24"/>
          <w:szCs w:val="24"/>
          <w:rtl/>
        </w:rPr>
        <w:t>) - תוצא של חשיפה מתמשכת לסבל ותמותה ביחידות לטיפול מקל. הרפואה, כרך 151,  חוב' 11.</w:t>
      </w:r>
    </w:p>
    <w:p w:rsidR="00B62F50" w:rsidRPr="00E852BB" w:rsidRDefault="00B62F50" w:rsidP="00B62F50">
      <w:pPr>
        <w:spacing w:after="120" w:line="240" w:lineRule="auto"/>
        <w:ind w:hanging="709"/>
        <w:rPr>
          <w:rFonts w:ascii="David" w:hAnsi="David" w:cs="David"/>
          <w:sz w:val="24"/>
          <w:szCs w:val="24"/>
          <w:rtl/>
        </w:rPr>
      </w:pPr>
      <w:r w:rsidRPr="00E852BB">
        <w:rPr>
          <w:rFonts w:ascii="David" w:hAnsi="David" w:cs="David"/>
          <w:sz w:val="24"/>
          <w:szCs w:val="24"/>
          <w:rtl/>
        </w:rPr>
        <w:t>שטיינברג, א. (2003). תהליך קבלת החלטות בסוף החיים. הרפואה, כרך 141,  חוב' 10.</w:t>
      </w:r>
    </w:p>
    <w:p w:rsidR="00B62F50" w:rsidRPr="00E852BB" w:rsidRDefault="00B62F50" w:rsidP="00B62F50">
      <w:pPr>
        <w:spacing w:after="120" w:line="240" w:lineRule="auto"/>
        <w:ind w:hanging="709"/>
        <w:rPr>
          <w:rFonts w:ascii="David" w:hAnsi="David" w:cs="David"/>
          <w:sz w:val="24"/>
          <w:szCs w:val="24"/>
          <w:rtl/>
        </w:rPr>
      </w:pPr>
      <w:proofErr w:type="spellStart"/>
      <w:r w:rsidRPr="00E852BB">
        <w:rPr>
          <w:rFonts w:ascii="David" w:hAnsi="David" w:cs="David"/>
          <w:sz w:val="24"/>
          <w:szCs w:val="24"/>
          <w:rtl/>
        </w:rPr>
        <w:t>שפרלינג</w:t>
      </w:r>
      <w:proofErr w:type="spellEnd"/>
      <w:r w:rsidRPr="00E852BB">
        <w:rPr>
          <w:rFonts w:ascii="David" w:hAnsi="David" w:cs="David"/>
          <w:sz w:val="24"/>
          <w:szCs w:val="24"/>
          <w:rtl/>
        </w:rPr>
        <w:t xml:space="preserve">, ג. מצפון, התנגדות עקרונית ואתיקה בסירוב למתן טיפול רפואי לדרישת המטופל. (2008). הרפואה, כרך 147, חוברת ה.  </w:t>
      </w:r>
    </w:p>
    <w:p w:rsidR="00E13EC5" w:rsidRDefault="00540B5A" w:rsidP="00294358">
      <w:r>
        <w:rPr>
          <w:rFonts w:ascii="Tahoma" w:hAnsi="Tahoma" w:cs="Tahoma" w:hint="cs"/>
          <w:rtl/>
        </w:rPr>
        <w:tab/>
      </w:r>
      <w:r>
        <w:rPr>
          <w:rFonts w:ascii="Tahoma" w:hAnsi="Tahoma" w:cs="Tahoma" w:hint="cs"/>
          <w:rtl/>
        </w:rPr>
        <w:tab/>
      </w:r>
      <w:r>
        <w:rPr>
          <w:rFonts w:ascii="Tahoma" w:hAnsi="Tahoma" w:cs="Tahoma" w:hint="cs"/>
          <w:rtl/>
        </w:rPr>
        <w:tab/>
      </w:r>
      <w:r>
        <w:rPr>
          <w:rFonts w:ascii="Tahoma" w:hAnsi="Tahoma" w:cs="Tahoma" w:hint="cs"/>
          <w:rtl/>
        </w:rPr>
        <w:tab/>
      </w:r>
      <w:r>
        <w:rPr>
          <w:rFonts w:ascii="Tahoma" w:hAnsi="Tahoma" w:cs="Tahoma" w:hint="cs"/>
          <w:rtl/>
        </w:rPr>
        <w:tab/>
      </w:r>
      <w:r>
        <w:rPr>
          <w:rFonts w:ascii="Tahoma" w:hAnsi="Tahoma" w:cs="Tahoma" w:hint="cs"/>
          <w:rtl/>
        </w:rPr>
        <w:tab/>
      </w:r>
    </w:p>
    <w:p w:rsidR="00921CB9" w:rsidRPr="00CC7CAC" w:rsidRDefault="00921CB9" w:rsidP="00CC7CAC">
      <w:pPr>
        <w:rPr>
          <w:rtl/>
        </w:rPr>
      </w:pPr>
    </w:p>
    <w:sectPr w:rsidR="00921CB9" w:rsidRPr="00CC7CAC" w:rsidSect="005B2420">
      <w:headerReference w:type="default" r:id="rId11"/>
      <w:pgSz w:w="11906" w:h="16838"/>
      <w:pgMar w:top="2835" w:right="1800"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A0" w:rsidRDefault="008F3AA0" w:rsidP="008F3AA0">
      <w:pPr>
        <w:spacing w:after="0" w:line="240" w:lineRule="auto"/>
      </w:pPr>
      <w:r>
        <w:separator/>
      </w:r>
    </w:p>
  </w:endnote>
  <w:endnote w:type="continuationSeparator" w:id="0">
    <w:p w:rsidR="008F3AA0" w:rsidRDefault="008F3AA0" w:rsidP="008F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A0" w:rsidRDefault="008F3AA0" w:rsidP="008F3AA0">
      <w:pPr>
        <w:spacing w:after="0" w:line="240" w:lineRule="auto"/>
      </w:pPr>
      <w:r>
        <w:separator/>
      </w:r>
    </w:p>
  </w:footnote>
  <w:footnote w:type="continuationSeparator" w:id="0">
    <w:p w:rsidR="008F3AA0" w:rsidRDefault="008F3AA0" w:rsidP="008F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D3" w:rsidRDefault="001778D3">
    <w:pPr>
      <w:pStyle w:val="a3"/>
      <w:rPr>
        <w:rtl/>
      </w:rPr>
    </w:pPr>
    <w:r>
      <w:rPr>
        <w:noProof/>
      </w:rPr>
      <w:drawing>
        <wp:anchor distT="0" distB="0" distL="114300" distR="114300" simplePos="0" relativeHeight="251663360" behindDoc="1" locked="0" layoutInCell="1" allowOverlap="1" wp14:anchorId="62F96DBA" wp14:editId="15F37328">
          <wp:simplePos x="0" y="0"/>
          <wp:positionH relativeFrom="column">
            <wp:posOffset>1671955</wp:posOffset>
          </wp:positionH>
          <wp:positionV relativeFrom="paragraph">
            <wp:posOffset>-191135</wp:posOffset>
          </wp:positionV>
          <wp:extent cx="3023616" cy="14386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ThHeader.jpg"/>
                  <pic:cNvPicPr/>
                </pic:nvPicPr>
                <pic:blipFill>
                  <a:blip r:embed="rId1">
                    <a:extLst>
                      <a:ext uri="{28A0092B-C50C-407E-A947-70E740481C1C}">
                        <a14:useLocalDpi xmlns:a14="http://schemas.microsoft.com/office/drawing/2010/main" val="0"/>
                      </a:ext>
                    </a:extLst>
                  </a:blip>
                  <a:stretch>
                    <a:fillRect/>
                  </a:stretch>
                </pic:blipFill>
                <pic:spPr>
                  <a:xfrm>
                    <a:off x="0" y="0"/>
                    <a:ext cx="3023616" cy="14386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778D3" w:rsidRDefault="001778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BFF"/>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5C50A1A"/>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9181A6E"/>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A626FEA"/>
    <w:multiLevelType w:val="hybridMultilevel"/>
    <w:tmpl w:val="5010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02A1"/>
    <w:multiLevelType w:val="hybridMultilevel"/>
    <w:tmpl w:val="05DC1DBC"/>
    <w:lvl w:ilvl="0" w:tplc="04090001">
      <w:start w:val="1"/>
      <w:numFmt w:val="bullet"/>
      <w:lvlText w:val=""/>
      <w:lvlJc w:val="left"/>
      <w:pPr>
        <w:ind w:left="1410" w:hanging="69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A317D"/>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8DB48E6"/>
    <w:multiLevelType w:val="multilevel"/>
    <w:tmpl w:val="0F9A0866"/>
    <w:numStyleLink w:val="1"/>
  </w:abstractNum>
  <w:abstractNum w:abstractNumId="7" w15:restartNumberingAfterBreak="0">
    <w:nsid w:val="1ACC3FC0"/>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C5F1D74"/>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FB93962"/>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77A36C9"/>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A1062A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A2F0F27"/>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34AC5788"/>
    <w:multiLevelType w:val="hybridMultilevel"/>
    <w:tmpl w:val="A44EE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8A1B0E"/>
    <w:multiLevelType w:val="hybridMultilevel"/>
    <w:tmpl w:val="2DFC71D2"/>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39F9539E"/>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A225C60"/>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C193B3B"/>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3EB90E8B"/>
    <w:multiLevelType w:val="hybridMultilevel"/>
    <w:tmpl w:val="CC322D46"/>
    <w:lvl w:ilvl="0" w:tplc="66EE1E38">
      <w:start w:val="1"/>
      <w:numFmt w:val="hebrew1"/>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40192FE2"/>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479013B4"/>
    <w:multiLevelType w:val="hybridMultilevel"/>
    <w:tmpl w:val="12BA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0D4C"/>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4EFD7EDB"/>
    <w:multiLevelType w:val="hybridMultilevel"/>
    <w:tmpl w:val="CABC4D3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3" w15:restartNumberingAfterBreak="0">
    <w:nsid w:val="583113EC"/>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92111EC"/>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AEA089A"/>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5B0F134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5B773CE9"/>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6862539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70ED767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73183780"/>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76D52421"/>
    <w:multiLevelType w:val="hybridMultilevel"/>
    <w:tmpl w:val="8FCAB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54F3A"/>
    <w:multiLevelType w:val="multilevel"/>
    <w:tmpl w:val="0F9A0866"/>
    <w:styleLink w:val="1"/>
    <w:lvl w:ilvl="0">
      <w:start w:val="1"/>
      <w:numFmt w:val="decimal"/>
      <w:lvlText w:val="%1."/>
      <w:lvlJc w:val="left"/>
      <w:pPr>
        <w:ind w:left="1866" w:hanging="360"/>
      </w:pPr>
    </w:lvl>
    <w:lvl w:ilvl="1">
      <w:start w:val="1"/>
      <w:numFmt w:val="hebrew1"/>
      <w:lvlText w:val="%2."/>
      <w:lvlJc w:val="left"/>
      <w:pPr>
        <w:ind w:left="502" w:hanging="360"/>
      </w:pPr>
      <w:rPr>
        <w:rFonts w:cs="Arial"/>
        <w:szCs w:val="28"/>
      </w:r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7F216AD9"/>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32"/>
  </w:num>
  <w:num w:numId="5">
    <w:abstractNumId w:val="6"/>
    <w:lvlOverride w:ilvl="0">
      <w:lvl w:ilvl="0">
        <w:start w:val="1"/>
        <w:numFmt w:val="hebrew1"/>
        <w:lvlText w:val="%1."/>
        <w:lvlJc w:val="center"/>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6">
    <w:abstractNumId w:val="20"/>
  </w:num>
  <w:num w:numId="7">
    <w:abstractNumId w:val="26"/>
  </w:num>
  <w:num w:numId="8">
    <w:abstractNumId w:val="0"/>
  </w:num>
  <w:num w:numId="9">
    <w:abstractNumId w:val="5"/>
  </w:num>
  <w:num w:numId="10">
    <w:abstractNumId w:val="7"/>
  </w:num>
  <w:num w:numId="11">
    <w:abstractNumId w:val="29"/>
  </w:num>
  <w:num w:numId="12">
    <w:abstractNumId w:val="33"/>
  </w:num>
  <w:num w:numId="13">
    <w:abstractNumId w:val="21"/>
  </w:num>
  <w:num w:numId="14">
    <w:abstractNumId w:val="9"/>
  </w:num>
  <w:num w:numId="15">
    <w:abstractNumId w:val="19"/>
  </w:num>
  <w:num w:numId="16">
    <w:abstractNumId w:val="16"/>
  </w:num>
  <w:num w:numId="17">
    <w:abstractNumId w:val="10"/>
  </w:num>
  <w:num w:numId="18">
    <w:abstractNumId w:val="24"/>
  </w:num>
  <w:num w:numId="19">
    <w:abstractNumId w:val="25"/>
  </w:num>
  <w:num w:numId="20">
    <w:abstractNumId w:val="11"/>
  </w:num>
  <w:num w:numId="21">
    <w:abstractNumId w:val="2"/>
  </w:num>
  <w:num w:numId="22">
    <w:abstractNumId w:val="15"/>
  </w:num>
  <w:num w:numId="23">
    <w:abstractNumId w:val="28"/>
  </w:num>
  <w:num w:numId="24">
    <w:abstractNumId w:val="30"/>
  </w:num>
  <w:num w:numId="25">
    <w:abstractNumId w:val="8"/>
  </w:num>
  <w:num w:numId="26">
    <w:abstractNumId w:val="23"/>
  </w:num>
  <w:num w:numId="27">
    <w:abstractNumId w:val="17"/>
  </w:num>
  <w:num w:numId="28">
    <w:abstractNumId w:val="27"/>
  </w:num>
  <w:num w:numId="29">
    <w:abstractNumId w:val="1"/>
  </w:num>
  <w:num w:numId="30">
    <w:abstractNumId w:val="12"/>
  </w:num>
  <w:num w:numId="31">
    <w:abstractNumId w:val="4"/>
  </w:num>
  <w:num w:numId="32">
    <w:abstractNumId w:val="3"/>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A0"/>
    <w:rsid w:val="00007130"/>
    <w:rsid w:val="00057A40"/>
    <w:rsid w:val="00122C8E"/>
    <w:rsid w:val="001508CA"/>
    <w:rsid w:val="001778D3"/>
    <w:rsid w:val="001E4F75"/>
    <w:rsid w:val="001F293F"/>
    <w:rsid w:val="00246763"/>
    <w:rsid w:val="002571F7"/>
    <w:rsid w:val="00294358"/>
    <w:rsid w:val="002B22CE"/>
    <w:rsid w:val="003732CC"/>
    <w:rsid w:val="003C234A"/>
    <w:rsid w:val="00406D73"/>
    <w:rsid w:val="00502282"/>
    <w:rsid w:val="00512A68"/>
    <w:rsid w:val="00540B5A"/>
    <w:rsid w:val="005519BB"/>
    <w:rsid w:val="005A1CB4"/>
    <w:rsid w:val="005B2420"/>
    <w:rsid w:val="007508A7"/>
    <w:rsid w:val="007A60DD"/>
    <w:rsid w:val="008276D7"/>
    <w:rsid w:val="00844C9C"/>
    <w:rsid w:val="008F3AA0"/>
    <w:rsid w:val="00921CB9"/>
    <w:rsid w:val="00985936"/>
    <w:rsid w:val="009C0343"/>
    <w:rsid w:val="00B62F50"/>
    <w:rsid w:val="00C101ED"/>
    <w:rsid w:val="00C22F85"/>
    <w:rsid w:val="00CC7CAC"/>
    <w:rsid w:val="00E13EC5"/>
    <w:rsid w:val="00E545BC"/>
    <w:rsid w:val="00F76F2A"/>
    <w:rsid w:val="00FB7F8C"/>
    <w:rsid w:val="00FC5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0C38"/>
  <w15:docId w15:val="{338527C7-B761-43DC-8F20-C19E4A34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0">
    <w:name w:val="heading 1"/>
    <w:basedOn w:val="a"/>
    <w:link w:val="11"/>
    <w:uiPriority w:val="9"/>
    <w:qFormat/>
    <w:rsid w:val="00E13EC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AA0"/>
    <w:pPr>
      <w:tabs>
        <w:tab w:val="center" w:pos="4153"/>
        <w:tab w:val="right" w:pos="8306"/>
      </w:tabs>
      <w:spacing w:after="0" w:line="240" w:lineRule="auto"/>
    </w:pPr>
  </w:style>
  <w:style w:type="character" w:customStyle="1" w:styleId="a4">
    <w:name w:val="כותרת עליונה תו"/>
    <w:basedOn w:val="a0"/>
    <w:link w:val="a3"/>
    <w:uiPriority w:val="99"/>
    <w:rsid w:val="008F3AA0"/>
  </w:style>
  <w:style w:type="paragraph" w:styleId="a5">
    <w:name w:val="footer"/>
    <w:basedOn w:val="a"/>
    <w:link w:val="a6"/>
    <w:uiPriority w:val="99"/>
    <w:unhideWhenUsed/>
    <w:rsid w:val="008F3AA0"/>
    <w:pPr>
      <w:tabs>
        <w:tab w:val="center" w:pos="4153"/>
        <w:tab w:val="right" w:pos="8306"/>
      </w:tabs>
      <w:spacing w:after="0" w:line="240" w:lineRule="auto"/>
    </w:pPr>
  </w:style>
  <w:style w:type="character" w:customStyle="1" w:styleId="a6">
    <w:name w:val="כותרת תחתונה תו"/>
    <w:basedOn w:val="a0"/>
    <w:link w:val="a5"/>
    <w:uiPriority w:val="99"/>
    <w:rsid w:val="008F3AA0"/>
  </w:style>
  <w:style w:type="table" w:customStyle="1" w:styleId="TableGrid">
    <w:name w:val="TableGrid"/>
    <w:rsid w:val="00985936"/>
    <w:pPr>
      <w:spacing w:after="0" w:line="240" w:lineRule="auto"/>
    </w:pPr>
    <w:rPr>
      <w:rFonts w:eastAsiaTheme="minorEastAsia"/>
      <w:lang w:bidi="ar-SA"/>
    </w:rPr>
    <w:tblPr>
      <w:tblCellMar>
        <w:top w:w="0" w:type="dxa"/>
        <w:left w:w="0" w:type="dxa"/>
        <w:bottom w:w="0" w:type="dxa"/>
        <w:right w:w="0" w:type="dxa"/>
      </w:tblCellMar>
    </w:tblPr>
  </w:style>
  <w:style w:type="numbering" w:customStyle="1" w:styleId="1">
    <w:name w:val="סגנון1"/>
    <w:uiPriority w:val="99"/>
    <w:rsid w:val="00FB7F8C"/>
    <w:pPr>
      <w:numPr>
        <w:numId w:val="4"/>
      </w:numPr>
    </w:pPr>
  </w:style>
  <w:style w:type="paragraph" w:styleId="a7">
    <w:name w:val="List Paragraph"/>
    <w:basedOn w:val="a"/>
    <w:uiPriority w:val="34"/>
    <w:qFormat/>
    <w:rsid w:val="00FB7F8C"/>
    <w:pPr>
      <w:spacing w:after="200" w:line="276" w:lineRule="auto"/>
      <w:ind w:left="720"/>
      <w:contextualSpacing/>
    </w:pPr>
  </w:style>
  <w:style w:type="paragraph" w:styleId="a8">
    <w:name w:val="Balloon Text"/>
    <w:basedOn w:val="a"/>
    <w:link w:val="a9"/>
    <w:uiPriority w:val="99"/>
    <w:semiHidden/>
    <w:unhideWhenUsed/>
    <w:rsid w:val="00FB7F8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FB7F8C"/>
    <w:rPr>
      <w:rFonts w:ascii="Tahoma" w:hAnsi="Tahoma" w:cs="Tahoma"/>
      <w:sz w:val="16"/>
      <w:szCs w:val="16"/>
    </w:rPr>
  </w:style>
  <w:style w:type="character" w:customStyle="1" w:styleId="11">
    <w:name w:val="כותרת 1 תו"/>
    <w:basedOn w:val="a0"/>
    <w:link w:val="10"/>
    <w:uiPriority w:val="9"/>
    <w:rsid w:val="00E13EC5"/>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B62F50"/>
    <w:rPr>
      <w:color w:val="0563C1" w:themeColor="hyperlink"/>
      <w:u w:val="single"/>
    </w:rPr>
  </w:style>
  <w:style w:type="character" w:customStyle="1" w:styleId="citation">
    <w:name w:val="citation"/>
    <w:basedOn w:val="a0"/>
    <w:rsid w:val="00B62F50"/>
  </w:style>
  <w:style w:type="character" w:styleId="aa">
    <w:name w:val="Emphasis"/>
    <w:basedOn w:val="a0"/>
    <w:uiPriority w:val="20"/>
    <w:qFormat/>
    <w:rsid w:val="00B62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ur@jdc.org.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gov.il/PublicationsFiles/palliativeCare_brochure.pdf" TargetMode="External"/><Relationship Id="rId4" Type="http://schemas.openxmlformats.org/officeDocument/2006/relationships/settings" Target="settings.xml"/><Relationship Id="rId9" Type="http://schemas.openxmlformats.org/officeDocument/2006/relationships/hyperlink" Target="http://www.who.int/cancer/palliative/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5918-55BC-4D14-8B0F-CC541C00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8308</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Stawitzky</dc:creator>
  <cp:lastModifiedBy>Vered Waldman</cp:lastModifiedBy>
  <cp:revision>2</cp:revision>
  <cp:lastPrinted>2017-11-12T09:35:00Z</cp:lastPrinted>
  <dcterms:created xsi:type="dcterms:W3CDTF">2018-03-04T06:16:00Z</dcterms:created>
  <dcterms:modified xsi:type="dcterms:W3CDTF">2018-03-04T06:16:00Z</dcterms:modified>
</cp:coreProperties>
</file>