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7F" w:rsidRPr="00EF367F" w:rsidRDefault="00EF367F" w:rsidP="00EF367F">
      <w:pPr>
        <w:pStyle w:val="a3"/>
        <w:rPr>
          <w:rFonts w:ascii="Times New Roman" w:hAnsi="Times New Roman" w:cs="David" w:hint="cs"/>
          <w:sz w:val="24"/>
          <w:szCs w:val="24"/>
          <w:rtl/>
        </w:rPr>
      </w:pPr>
      <w:r w:rsidRPr="00EF367F">
        <w:rPr>
          <w:rFonts w:ascii="Times New Roman" w:hAnsi="Times New Roman" w:cs="David" w:hint="cs"/>
          <w:sz w:val="24"/>
          <w:szCs w:val="24"/>
          <w:rtl/>
        </w:rPr>
        <w:t>אוניברסיטת תל-אביב</w:t>
      </w:r>
      <w:r w:rsidRPr="00EF367F">
        <w:rPr>
          <w:rFonts w:ascii="Times New Roman" w:hAnsi="Times New Roman" w:cs="David" w:hint="cs"/>
          <w:sz w:val="24"/>
          <w:szCs w:val="24"/>
          <w:rtl/>
        </w:rPr>
        <w:tab/>
      </w:r>
      <w:r w:rsidRPr="00EF367F">
        <w:rPr>
          <w:rFonts w:ascii="Times New Roman" w:hAnsi="Times New Roman" w:cs="David" w:hint="cs"/>
          <w:sz w:val="24"/>
          <w:szCs w:val="24"/>
          <w:rtl/>
        </w:rPr>
        <w:tab/>
      </w:r>
      <w:r w:rsidRPr="00EF367F">
        <w:rPr>
          <w:rFonts w:ascii="Times New Roman" w:hAnsi="Times New Roman" w:cs="David" w:hint="cs"/>
          <w:sz w:val="24"/>
          <w:szCs w:val="24"/>
          <w:rtl/>
        </w:rPr>
        <w:tab/>
      </w:r>
      <w:r w:rsidRPr="00EF367F">
        <w:rPr>
          <w:rFonts w:ascii="Times New Roman" w:hAnsi="Times New Roman" w:cs="David" w:hint="cs"/>
          <w:sz w:val="24"/>
          <w:szCs w:val="24"/>
          <w:rtl/>
        </w:rPr>
        <w:tab/>
      </w:r>
      <w:r w:rsidRPr="00EF367F">
        <w:rPr>
          <w:rFonts w:ascii="Times New Roman" w:hAnsi="Times New Roman" w:cs="David" w:hint="cs"/>
          <w:sz w:val="24"/>
          <w:szCs w:val="24"/>
          <w:rtl/>
        </w:rPr>
        <w:tab/>
        <w:t>סמסטר ב' תשע"ו</w:t>
      </w:r>
    </w:p>
    <w:p w:rsidR="00EF367F" w:rsidRPr="00EF367F" w:rsidRDefault="00EF367F" w:rsidP="00EF367F">
      <w:pPr>
        <w:pStyle w:val="a3"/>
        <w:rPr>
          <w:rFonts w:ascii="Times New Roman" w:hAnsi="Times New Roman" w:cs="David" w:hint="cs"/>
          <w:sz w:val="24"/>
          <w:szCs w:val="24"/>
          <w:rtl/>
        </w:rPr>
      </w:pPr>
      <w:r w:rsidRPr="00EF367F">
        <w:rPr>
          <w:rFonts w:ascii="Times New Roman" w:hAnsi="Times New Roman" w:cs="David" w:hint="cs"/>
          <w:sz w:val="24"/>
          <w:szCs w:val="24"/>
          <w:rtl/>
        </w:rPr>
        <w:t>הפקולטה למדעי החברה</w:t>
      </w:r>
      <w:r w:rsidRPr="00EF367F">
        <w:rPr>
          <w:rFonts w:ascii="Times New Roman" w:hAnsi="Times New Roman" w:cs="David" w:hint="cs"/>
          <w:sz w:val="24"/>
          <w:szCs w:val="24"/>
          <w:rtl/>
        </w:rPr>
        <w:tab/>
      </w:r>
      <w:r w:rsidRPr="00EF367F">
        <w:rPr>
          <w:rFonts w:ascii="Times New Roman" w:hAnsi="Times New Roman" w:cs="David" w:hint="cs"/>
          <w:sz w:val="24"/>
          <w:szCs w:val="24"/>
          <w:rtl/>
        </w:rPr>
        <w:tab/>
      </w:r>
      <w:r w:rsidRPr="00EF367F">
        <w:rPr>
          <w:rFonts w:ascii="Times New Roman" w:hAnsi="Times New Roman" w:cs="David" w:hint="cs"/>
          <w:sz w:val="24"/>
          <w:szCs w:val="24"/>
          <w:rtl/>
        </w:rPr>
        <w:tab/>
      </w:r>
      <w:r w:rsidRPr="00EF367F">
        <w:rPr>
          <w:rFonts w:ascii="Times New Roman" w:hAnsi="Times New Roman" w:cs="David" w:hint="cs"/>
          <w:sz w:val="24"/>
          <w:szCs w:val="24"/>
          <w:rtl/>
        </w:rPr>
        <w:tab/>
      </w:r>
      <w:r w:rsidRPr="00EF367F">
        <w:rPr>
          <w:rFonts w:ascii="Times New Roman" w:hAnsi="Times New Roman" w:cs="David" w:hint="cs"/>
          <w:sz w:val="24"/>
          <w:szCs w:val="24"/>
          <w:rtl/>
        </w:rPr>
        <w:tab/>
      </w:r>
      <w:r w:rsidRPr="00EF367F">
        <w:rPr>
          <w:rFonts w:ascii="Times New Roman" w:hAnsi="Times New Roman" w:cs="David" w:hint="cs"/>
          <w:sz w:val="24"/>
          <w:szCs w:val="24"/>
          <w:rtl/>
        </w:rPr>
        <w:t>יום ה', 16-19</w:t>
      </w:r>
    </w:p>
    <w:p w:rsidR="00863787" w:rsidRPr="00EF367F" w:rsidRDefault="00863787" w:rsidP="00EF367F">
      <w:pPr>
        <w:pStyle w:val="a3"/>
        <w:rPr>
          <w:rFonts w:ascii="Times New Roman" w:hAnsi="Times New Roman" w:cs="David"/>
          <w:b/>
          <w:sz w:val="24"/>
          <w:szCs w:val="24"/>
        </w:rPr>
      </w:pPr>
      <w:r w:rsidRPr="00EF367F">
        <w:rPr>
          <w:rFonts w:ascii="Times New Roman" w:hAnsi="Times New Roman" w:cs="David"/>
          <w:sz w:val="24"/>
          <w:szCs w:val="24"/>
          <w:rtl/>
        </w:rPr>
        <w:t>החוג לסוציולוגיה ואנתרופולוגיה</w:t>
      </w:r>
      <w:r w:rsidR="00EF367F" w:rsidRPr="00EF367F">
        <w:rPr>
          <w:rFonts w:ascii="Times New Roman" w:hAnsi="Times New Roman" w:cs="David" w:hint="cs"/>
          <w:b/>
          <w:sz w:val="24"/>
          <w:szCs w:val="24"/>
          <w:rtl/>
        </w:rPr>
        <w:tab/>
      </w:r>
      <w:r w:rsidR="00EF367F" w:rsidRPr="00EF367F">
        <w:rPr>
          <w:rFonts w:ascii="Times New Roman" w:hAnsi="Times New Roman" w:cs="David" w:hint="cs"/>
          <w:b/>
          <w:sz w:val="24"/>
          <w:szCs w:val="24"/>
          <w:rtl/>
        </w:rPr>
        <w:tab/>
      </w:r>
      <w:r w:rsidR="00EF367F" w:rsidRPr="00EF367F">
        <w:rPr>
          <w:rFonts w:ascii="Times New Roman" w:hAnsi="Times New Roman" w:cs="David" w:hint="cs"/>
          <w:b/>
          <w:sz w:val="24"/>
          <w:szCs w:val="24"/>
          <w:rtl/>
        </w:rPr>
        <w:tab/>
      </w:r>
      <w:r w:rsidR="00EF367F" w:rsidRPr="00EF367F">
        <w:rPr>
          <w:rFonts w:ascii="Times New Roman" w:hAnsi="Times New Roman" w:cs="David" w:hint="cs"/>
          <w:b/>
          <w:sz w:val="24"/>
          <w:szCs w:val="24"/>
          <w:rtl/>
        </w:rPr>
        <w:tab/>
        <w:t>קורס מס' 10412604</w:t>
      </w:r>
    </w:p>
    <w:p w:rsidR="00863787" w:rsidRPr="00A96C05" w:rsidRDefault="00863787" w:rsidP="00863787">
      <w:pPr>
        <w:pStyle w:val="a3"/>
        <w:jc w:val="center"/>
        <w:rPr>
          <w:rFonts w:ascii="David" w:hAnsi="David" w:cs="David"/>
          <w:sz w:val="24"/>
          <w:szCs w:val="24"/>
          <w:rtl/>
        </w:rPr>
      </w:pPr>
    </w:p>
    <w:p w:rsidR="00EF367F" w:rsidRDefault="00EF367F" w:rsidP="00EF367F">
      <w:pPr>
        <w:pStyle w:val="a3"/>
        <w:jc w:val="center"/>
        <w:rPr>
          <w:rFonts w:ascii="Times New Roman" w:hAnsi="Times New Roman" w:cs="David" w:hint="cs"/>
          <w:sz w:val="24"/>
          <w:szCs w:val="24"/>
          <w:u w:val="single"/>
          <w:rtl/>
        </w:rPr>
      </w:pPr>
    </w:p>
    <w:p w:rsidR="00863787" w:rsidRPr="00EF367F" w:rsidRDefault="00863787" w:rsidP="00EF367F">
      <w:pPr>
        <w:pStyle w:val="a3"/>
        <w:jc w:val="center"/>
        <w:rPr>
          <w:rFonts w:ascii="David" w:hAnsi="David" w:cs="David"/>
          <w:sz w:val="24"/>
          <w:szCs w:val="24"/>
          <w:u w:val="single"/>
        </w:rPr>
      </w:pPr>
      <w:r w:rsidRPr="00EF367F">
        <w:rPr>
          <w:rFonts w:ascii="Times New Roman" w:hAnsi="Times New Roman" w:cs="David"/>
          <w:sz w:val="24"/>
          <w:szCs w:val="24"/>
          <w:u w:val="single"/>
          <w:rtl/>
        </w:rPr>
        <w:t>משפחה וחברה</w:t>
      </w:r>
    </w:p>
    <w:p w:rsidR="00863787" w:rsidRPr="00A96C05" w:rsidRDefault="00863787" w:rsidP="00863787">
      <w:pPr>
        <w:pStyle w:val="a3"/>
        <w:jc w:val="center"/>
        <w:rPr>
          <w:rFonts w:ascii="Times New Roman" w:hAnsi="Times New Roman" w:cs="David"/>
          <w:sz w:val="24"/>
          <w:szCs w:val="24"/>
          <w:rtl/>
        </w:rPr>
      </w:pPr>
      <w:r w:rsidRPr="00A96C05">
        <w:rPr>
          <w:rFonts w:ascii="Times New Roman" w:hAnsi="Times New Roman" w:cs="David"/>
          <w:sz w:val="24"/>
          <w:szCs w:val="24"/>
          <w:rtl/>
        </w:rPr>
        <w:t>פרופ' חיה שטייר</w:t>
      </w:r>
    </w:p>
    <w:p w:rsidR="00EF367F" w:rsidRDefault="00EF367F" w:rsidP="004A4306">
      <w:pPr>
        <w:pStyle w:val="a3"/>
        <w:jc w:val="center"/>
        <w:rPr>
          <w:rFonts w:ascii="Times New Roman" w:hAnsi="Times New Roman" w:cs="David" w:hint="cs"/>
          <w:sz w:val="24"/>
          <w:szCs w:val="24"/>
          <w:rtl/>
        </w:rPr>
      </w:pPr>
    </w:p>
    <w:p w:rsidR="00863787" w:rsidRPr="00A96C05" w:rsidRDefault="00863787" w:rsidP="004A4306">
      <w:pPr>
        <w:pStyle w:val="a3"/>
        <w:jc w:val="center"/>
        <w:rPr>
          <w:rFonts w:ascii="Times New Roman" w:hAnsi="Times New Roman" w:cs="David"/>
          <w:sz w:val="24"/>
          <w:szCs w:val="24"/>
        </w:rPr>
      </w:pPr>
      <w:r w:rsidRPr="00A96C05">
        <w:rPr>
          <w:rFonts w:ascii="Times New Roman" w:hAnsi="Times New Roman" w:cs="David"/>
          <w:sz w:val="24"/>
          <w:szCs w:val="24"/>
          <w:rtl/>
        </w:rPr>
        <w:t>שעת הקבלה</w:t>
      </w:r>
      <w:r w:rsidRPr="00A96C05">
        <w:rPr>
          <w:rFonts w:ascii="Times New Roman" w:hAnsi="Times New Roman" w:cs="David"/>
          <w:sz w:val="24"/>
          <w:szCs w:val="24"/>
        </w:rPr>
        <w:t>:</w:t>
      </w:r>
      <w:r w:rsidRPr="00A96C05">
        <w:rPr>
          <w:rFonts w:ascii="Times New Roman" w:hAnsi="Times New Roman" w:cs="David"/>
          <w:sz w:val="24"/>
          <w:szCs w:val="24"/>
          <w:rtl/>
        </w:rPr>
        <w:t xml:space="preserve"> יום </w:t>
      </w:r>
      <w:r w:rsidR="004A4306">
        <w:rPr>
          <w:rFonts w:ascii="Times New Roman" w:hAnsi="Times New Roman" w:cs="David" w:hint="cs"/>
          <w:sz w:val="24"/>
          <w:szCs w:val="24"/>
          <w:rtl/>
        </w:rPr>
        <w:t>א'</w:t>
      </w:r>
      <w:r w:rsidRPr="00A96C05">
        <w:rPr>
          <w:rFonts w:ascii="Times New Roman" w:hAnsi="Times New Roman" w:cs="David"/>
          <w:sz w:val="24"/>
          <w:szCs w:val="24"/>
          <w:rtl/>
        </w:rPr>
        <w:t xml:space="preserve"> </w:t>
      </w:r>
      <w:r w:rsidR="004A4306">
        <w:rPr>
          <w:rFonts w:ascii="Times New Roman" w:hAnsi="Times New Roman" w:cs="David"/>
          <w:sz w:val="24"/>
          <w:szCs w:val="24"/>
        </w:rPr>
        <w:t xml:space="preserve"> </w:t>
      </w:r>
      <w:r w:rsidR="004A4306">
        <w:rPr>
          <w:rFonts w:ascii="Times New Roman" w:hAnsi="Times New Roman" w:cs="David" w:hint="cs"/>
          <w:sz w:val="24"/>
          <w:szCs w:val="24"/>
          <w:rtl/>
        </w:rPr>
        <w:t xml:space="preserve">15:00-16:00 (בתיאום מראש) </w:t>
      </w:r>
      <w:r w:rsidRPr="00A96C05">
        <w:rPr>
          <w:rFonts w:ascii="Times New Roman" w:hAnsi="Times New Roman" w:cs="David"/>
          <w:sz w:val="24"/>
          <w:szCs w:val="24"/>
          <w:rtl/>
        </w:rPr>
        <w:t xml:space="preserve">חדר 405ב'   </w:t>
      </w:r>
    </w:p>
    <w:p w:rsidR="00863787" w:rsidRPr="00A96C05" w:rsidRDefault="00863787" w:rsidP="00863787">
      <w:pPr>
        <w:pStyle w:val="a3"/>
        <w:jc w:val="center"/>
        <w:rPr>
          <w:rFonts w:ascii="Times New Roman" w:hAnsi="Times New Roman" w:cs="David"/>
          <w:sz w:val="24"/>
          <w:szCs w:val="24"/>
        </w:rPr>
      </w:pPr>
      <w:r w:rsidRPr="00A96C05">
        <w:rPr>
          <w:rStyle w:val="Hyperlink"/>
          <w:rFonts w:ascii="Times New Roman" w:hAnsi="Times New Roman" w:cs="David"/>
          <w:sz w:val="24"/>
          <w:szCs w:val="24"/>
        </w:rPr>
        <w:t>Haya1@post.tau.ac.il</w:t>
      </w:r>
    </w:p>
    <w:p w:rsidR="00863787" w:rsidRPr="00A96C05" w:rsidRDefault="00863787" w:rsidP="00863787">
      <w:pPr>
        <w:pStyle w:val="a3"/>
        <w:jc w:val="center"/>
        <w:rPr>
          <w:rFonts w:cs="David"/>
          <w:sz w:val="24"/>
          <w:szCs w:val="24"/>
        </w:rPr>
      </w:pPr>
    </w:p>
    <w:p w:rsidR="00863787" w:rsidRPr="00A96C05" w:rsidRDefault="00863787" w:rsidP="00863787">
      <w:pPr>
        <w:pStyle w:val="a3"/>
        <w:jc w:val="right"/>
        <w:rPr>
          <w:rFonts w:ascii="Times New Roman" w:hAnsi="Times New Roman" w:cs="David"/>
          <w:sz w:val="24"/>
          <w:szCs w:val="24"/>
        </w:rPr>
      </w:pPr>
    </w:p>
    <w:p w:rsidR="00863787" w:rsidRPr="00A96C05" w:rsidRDefault="00863787" w:rsidP="00863787">
      <w:pPr>
        <w:pStyle w:val="a3"/>
        <w:rPr>
          <w:rFonts w:ascii="Times New Roman" w:hAnsi="Times New Roman" w:cs="David"/>
          <w:sz w:val="24"/>
          <w:szCs w:val="24"/>
        </w:rPr>
      </w:pPr>
      <w:r w:rsidRPr="00A96C05">
        <w:rPr>
          <w:rFonts w:ascii="Times New Roman" w:hAnsi="Times New Roman" w:cs="David"/>
          <w:sz w:val="24"/>
          <w:szCs w:val="24"/>
          <w:rtl/>
        </w:rPr>
        <w:t>תאור הקורס</w:t>
      </w:r>
    </w:p>
    <w:p w:rsidR="00863787" w:rsidRPr="00A96C05" w:rsidRDefault="00863787" w:rsidP="00863787">
      <w:pPr>
        <w:pStyle w:val="a3"/>
        <w:rPr>
          <w:rFonts w:ascii="Times New Roman" w:hAnsi="Times New Roman" w:cs="David"/>
          <w:sz w:val="24"/>
          <w:szCs w:val="24"/>
          <w:rtl/>
        </w:rPr>
      </w:pPr>
      <w:r w:rsidRPr="00A96C05">
        <w:rPr>
          <w:rFonts w:ascii="Times New Roman" w:hAnsi="Times New Roman" w:cs="David"/>
          <w:sz w:val="24"/>
          <w:szCs w:val="24"/>
          <w:rtl/>
        </w:rPr>
        <w:t xml:space="preserve">מטרת הקורס לסקור בהרחבה נושאים מרכזיים הקשורים בחקר המשפחה. הקורס יתמקד בשינויים ההסטוריים שעברו על המשפחה; תהליכים בתוכה; ובמבנים משפחתיים שונים, תוך הדגשת הקשר בין תהליכים במשפחה ותהליכים בחברה. </w:t>
      </w:r>
    </w:p>
    <w:p w:rsidR="00863787" w:rsidRPr="00A96C05" w:rsidRDefault="00863787" w:rsidP="00863787">
      <w:pPr>
        <w:pStyle w:val="a3"/>
        <w:jc w:val="right"/>
        <w:rPr>
          <w:rFonts w:ascii="Times New Roman" w:hAnsi="Times New Roman" w:cs="David"/>
          <w:sz w:val="24"/>
          <w:szCs w:val="24"/>
        </w:rPr>
      </w:pPr>
    </w:p>
    <w:p w:rsidR="00863787" w:rsidRPr="00A96C05" w:rsidRDefault="00863787" w:rsidP="00863787">
      <w:pPr>
        <w:pStyle w:val="a3"/>
        <w:rPr>
          <w:rFonts w:ascii="Times New Roman" w:hAnsi="Times New Roman" w:cs="David"/>
          <w:b/>
          <w:sz w:val="24"/>
          <w:szCs w:val="24"/>
        </w:rPr>
      </w:pPr>
      <w:r w:rsidRPr="00A96C05">
        <w:rPr>
          <w:rFonts w:ascii="Times New Roman" w:hAnsi="Times New Roman" w:cs="David"/>
          <w:sz w:val="24"/>
          <w:szCs w:val="24"/>
          <w:rtl/>
        </w:rPr>
        <w:t>חובות התלמידים</w:t>
      </w:r>
    </w:p>
    <w:p w:rsidR="00863787" w:rsidRPr="00A96C05" w:rsidRDefault="00863787" w:rsidP="00863787">
      <w:pPr>
        <w:pStyle w:val="a3"/>
        <w:numPr>
          <w:ilvl w:val="0"/>
          <w:numId w:val="1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ascii="Times New Roman" w:hAnsi="Times New Roman" w:cs="David"/>
          <w:sz w:val="24"/>
          <w:szCs w:val="24"/>
        </w:rPr>
      </w:pPr>
      <w:r w:rsidRPr="00A96C05">
        <w:rPr>
          <w:rFonts w:ascii="Times New Roman" w:hAnsi="Times New Roman" w:cs="David"/>
          <w:sz w:val="24"/>
          <w:szCs w:val="24"/>
          <w:rtl/>
        </w:rPr>
        <w:t>יש לקרוא את כל הפריטים ברשימת הקריאות</w:t>
      </w:r>
      <w:r w:rsidRPr="00A96C05">
        <w:rPr>
          <w:rFonts w:ascii="Times New Roman" w:hAnsi="Times New Roman" w:cs="David"/>
          <w:sz w:val="24"/>
          <w:szCs w:val="24"/>
        </w:rPr>
        <w:t>.</w:t>
      </w:r>
    </w:p>
    <w:p w:rsidR="00863787" w:rsidRPr="00A96C05" w:rsidRDefault="00863787" w:rsidP="00863787">
      <w:pPr>
        <w:pStyle w:val="a3"/>
        <w:numPr>
          <w:ilvl w:val="0"/>
          <w:numId w:val="2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ind w:right="720"/>
        <w:textAlignment w:val="baseline"/>
        <w:rPr>
          <w:rFonts w:ascii="Times New Roman" w:hAnsi="Times New Roman" w:cs="David"/>
          <w:sz w:val="24"/>
          <w:szCs w:val="24"/>
        </w:rPr>
      </w:pPr>
      <w:r w:rsidRPr="00A96C05">
        <w:rPr>
          <w:rFonts w:ascii="Times New Roman" w:hAnsi="Times New Roman" w:cs="David"/>
          <w:sz w:val="24"/>
          <w:szCs w:val="24"/>
          <w:rtl/>
        </w:rPr>
        <w:t xml:space="preserve">עמידה בבחינת הסיום. </w:t>
      </w:r>
    </w:p>
    <w:p w:rsidR="00863787" w:rsidRPr="00A96C05" w:rsidRDefault="00863787" w:rsidP="00863787">
      <w:pPr>
        <w:pStyle w:val="a3"/>
        <w:rPr>
          <w:rFonts w:ascii="Times New Roman" w:hAnsi="Times New Roman" w:cs="David"/>
          <w:sz w:val="24"/>
        </w:rPr>
      </w:pPr>
    </w:p>
    <w:p w:rsidR="00863787" w:rsidRPr="00A96C05" w:rsidRDefault="00863787" w:rsidP="00863787">
      <w:pPr>
        <w:pStyle w:val="a3"/>
        <w:rPr>
          <w:rFonts w:ascii="Times New Roman" w:hAnsi="Times New Roman"/>
          <w:b/>
          <w:sz w:val="28"/>
        </w:rPr>
      </w:pPr>
      <w:r w:rsidRPr="00A96C05">
        <w:rPr>
          <w:rFonts w:ascii="Times New Roman" w:hAnsi="Times New Roman" w:cs="David"/>
          <w:sz w:val="28"/>
          <w:szCs w:val="28"/>
          <w:rtl/>
        </w:rPr>
        <w:t>נושאי השיעור ורשימת קריאות</w:t>
      </w:r>
    </w:p>
    <w:p w:rsidR="00863787" w:rsidRPr="00A96C05" w:rsidRDefault="00863787" w:rsidP="00863787">
      <w:pPr>
        <w:rPr>
          <w:rFonts w:ascii="Calibri" w:hAnsi="Calibri" w:cs="David"/>
          <w:bCs/>
          <w:rtl/>
        </w:rPr>
      </w:pPr>
    </w:p>
    <w:p w:rsidR="00863787" w:rsidRDefault="00863787" w:rsidP="004A4306">
      <w:pPr>
        <w:rPr>
          <w:rFonts w:ascii="David" w:hAnsi="David" w:cs="David"/>
          <w:bCs/>
          <w:rtl/>
        </w:rPr>
      </w:pPr>
      <w:r>
        <w:rPr>
          <w:rFonts w:ascii="David" w:hAnsi="David" w:cs="David"/>
          <w:bCs/>
          <w:rtl/>
        </w:rPr>
        <w:t xml:space="preserve">שעור </w:t>
      </w:r>
      <w:r>
        <w:rPr>
          <w:rFonts w:ascii="David" w:hAnsi="David" w:cs="David" w:hint="cs"/>
          <w:bCs/>
          <w:rtl/>
        </w:rPr>
        <w:t>1 (</w:t>
      </w:r>
      <w:r w:rsidR="004860F0">
        <w:rPr>
          <w:rFonts w:ascii="David" w:hAnsi="David" w:cs="David" w:hint="cs"/>
          <w:bCs/>
          <w:rtl/>
        </w:rPr>
        <w:t>2</w:t>
      </w:r>
      <w:r w:rsidR="004A4306">
        <w:rPr>
          <w:rFonts w:ascii="David" w:hAnsi="David" w:cs="David" w:hint="cs"/>
          <w:bCs/>
          <w:rtl/>
        </w:rPr>
        <w:t>5</w:t>
      </w:r>
      <w:r>
        <w:rPr>
          <w:rFonts w:ascii="David" w:hAnsi="David" w:cs="David" w:hint="cs"/>
          <w:bCs/>
          <w:rtl/>
        </w:rPr>
        <w:t>.</w:t>
      </w:r>
      <w:r w:rsidR="004A4306">
        <w:rPr>
          <w:rFonts w:ascii="David" w:hAnsi="David" w:cs="David" w:hint="cs"/>
          <w:bCs/>
          <w:rtl/>
        </w:rPr>
        <w:t>2</w:t>
      </w:r>
      <w:r>
        <w:rPr>
          <w:rFonts w:ascii="David" w:hAnsi="David" w:cs="David" w:hint="cs"/>
          <w:bCs/>
          <w:rtl/>
        </w:rPr>
        <w:t>)</w:t>
      </w:r>
      <w:r w:rsidRPr="00A96C05">
        <w:rPr>
          <w:rFonts w:ascii="David" w:hAnsi="David" w:cs="David"/>
          <w:bCs/>
          <w:rtl/>
        </w:rPr>
        <w:t xml:space="preserve">: </w:t>
      </w:r>
      <w:r w:rsidR="002B3C0B">
        <w:rPr>
          <w:rFonts w:ascii="David" w:hAnsi="David" w:cs="David" w:hint="cs"/>
          <w:bCs/>
          <w:rtl/>
        </w:rPr>
        <w:t xml:space="preserve">מהי משפחה? </w:t>
      </w:r>
      <w:r w:rsidRPr="00A96C05">
        <w:rPr>
          <w:rFonts w:ascii="David" w:hAnsi="David" w:cs="David"/>
          <w:bCs/>
          <w:rtl/>
        </w:rPr>
        <w:t>היבטים  מושגיים ו</w:t>
      </w:r>
      <w:r w:rsidR="002B3C0B">
        <w:rPr>
          <w:rFonts w:ascii="David" w:hAnsi="David" w:cs="David" w:hint="cs"/>
          <w:bCs/>
          <w:rtl/>
        </w:rPr>
        <w:t>תפיסות משתנות</w:t>
      </w:r>
    </w:p>
    <w:p w:rsidR="004A4306" w:rsidRPr="00A96C05" w:rsidRDefault="004A4306" w:rsidP="004A4306">
      <w:pPr>
        <w:rPr>
          <w:rFonts w:ascii="David" w:hAnsi="David" w:cs="David"/>
          <w:bCs/>
          <w:rtl/>
        </w:rPr>
      </w:pPr>
    </w:p>
    <w:p w:rsidR="00863787" w:rsidRPr="00A96C05" w:rsidRDefault="00863787" w:rsidP="00863787">
      <w:pPr>
        <w:jc w:val="right"/>
      </w:pPr>
      <w:proofErr w:type="spellStart"/>
      <w:r w:rsidRPr="00A96C05">
        <w:t>Popenoe</w:t>
      </w:r>
      <w:proofErr w:type="spellEnd"/>
      <w:r w:rsidRPr="00A96C05">
        <w:t xml:space="preserve">, David. 1993. American Family Decline, 1960-1990: A Review and Appraisal. </w:t>
      </w:r>
      <w:r w:rsidRPr="00A96C05">
        <w:rPr>
          <w:i/>
          <w:iCs/>
        </w:rPr>
        <w:t>Journal of marriage and the Family</w:t>
      </w:r>
      <w:r w:rsidRPr="00A96C05">
        <w:t xml:space="preserve"> 55: 527-555</w:t>
      </w:r>
    </w:p>
    <w:p w:rsidR="00863787" w:rsidRPr="00A96C05" w:rsidRDefault="00863787" w:rsidP="00863787"/>
    <w:p w:rsidR="00863787" w:rsidRPr="00A96C05" w:rsidRDefault="00863787" w:rsidP="00863787">
      <w:pPr>
        <w:tabs>
          <w:tab w:val="left" w:pos="720"/>
          <w:tab w:val="left" w:pos="4320"/>
        </w:tabs>
        <w:jc w:val="right"/>
      </w:pPr>
      <w:r w:rsidRPr="00A96C05">
        <w:t>Goode, William J. 2007. "The Theoretical Importance of the Family." Pp. 14-</w:t>
      </w:r>
      <w:smartTag w:uri="urn:schemas-microsoft-com:office:smarttags" w:element="metricconverter">
        <w:smartTagPr>
          <w:attr w:name="ProductID" w:val="25 in"/>
        </w:smartTagPr>
        <w:r w:rsidRPr="00A96C05">
          <w:t>25 in</w:t>
        </w:r>
      </w:smartTag>
      <w:r w:rsidRPr="00A96C05">
        <w:t xml:space="preserve"> Arlene S. Skolnick &amp; Jerome H. Skolnick (Eds.) </w:t>
      </w:r>
      <w:r w:rsidRPr="00A96C05">
        <w:rPr>
          <w:i/>
          <w:iCs/>
        </w:rPr>
        <w:t>Family in Transition</w:t>
      </w:r>
      <w:r w:rsidRPr="00A96C05">
        <w:t>. 14</w:t>
      </w:r>
      <w:r w:rsidRPr="00A96C05">
        <w:rPr>
          <w:vertAlign w:val="superscript"/>
        </w:rPr>
        <w:t>th</w:t>
      </w:r>
      <w:r w:rsidRPr="00A96C05">
        <w:t xml:space="preserve"> edition. Boston: Pearson.</w:t>
      </w:r>
    </w:p>
    <w:p w:rsidR="00863787" w:rsidRPr="00A96C05" w:rsidRDefault="00863787" w:rsidP="00863787"/>
    <w:p w:rsidR="00863787" w:rsidRPr="00A96C05" w:rsidRDefault="00863787" w:rsidP="00B62E1C">
      <w:pPr>
        <w:pStyle w:val="6"/>
        <w:jc w:val="right"/>
        <w:rPr>
          <w:rFonts w:cs="David"/>
          <w:u w:val="none"/>
          <w:rtl/>
          <w:lang w:bidi="he-IL"/>
        </w:rPr>
      </w:pPr>
      <w:r w:rsidRPr="00A96C05">
        <w:rPr>
          <w:rFonts w:cs="David"/>
          <w:u w:val="none"/>
          <w:rtl/>
          <w:lang w:bidi="he-IL"/>
        </w:rPr>
        <w:t xml:space="preserve">שעורים </w:t>
      </w:r>
      <w:r w:rsidRPr="00A96C05">
        <w:rPr>
          <w:rFonts w:cs="David"/>
          <w:u w:val="none"/>
          <w:rtl/>
        </w:rPr>
        <w:t>2-3</w:t>
      </w:r>
      <w:r w:rsidRPr="00A96C05">
        <w:rPr>
          <w:rFonts w:cs="David" w:hint="cs"/>
          <w:u w:val="none"/>
          <w:rtl/>
          <w:lang w:bidi="he-IL"/>
        </w:rPr>
        <w:t xml:space="preserve"> ( </w:t>
      </w:r>
      <w:r w:rsidR="004860F0">
        <w:rPr>
          <w:rFonts w:cs="David" w:hint="cs"/>
          <w:u w:val="none"/>
          <w:rtl/>
          <w:lang w:bidi="he-IL"/>
        </w:rPr>
        <w:t>1</w:t>
      </w:r>
      <w:r w:rsidR="00B62E1C">
        <w:rPr>
          <w:rFonts w:cs="David" w:hint="cs"/>
          <w:u w:val="none"/>
          <w:rtl/>
          <w:lang w:bidi="he-IL"/>
        </w:rPr>
        <w:t>0.3</w:t>
      </w:r>
      <w:r w:rsidR="004860F0">
        <w:rPr>
          <w:rFonts w:cs="David" w:hint="cs"/>
          <w:u w:val="none"/>
          <w:rtl/>
          <w:lang w:bidi="he-IL"/>
        </w:rPr>
        <w:t>,</w:t>
      </w:r>
      <w:r w:rsidRPr="00A96C05">
        <w:rPr>
          <w:rFonts w:cs="David" w:hint="cs"/>
          <w:u w:val="none"/>
          <w:rtl/>
          <w:lang w:bidi="he-IL"/>
        </w:rPr>
        <w:t xml:space="preserve"> </w:t>
      </w:r>
      <w:r w:rsidR="00B62E1C">
        <w:rPr>
          <w:rFonts w:cs="David" w:hint="cs"/>
          <w:u w:val="none"/>
          <w:rtl/>
          <w:lang w:bidi="he-IL"/>
        </w:rPr>
        <w:t>3.3</w:t>
      </w:r>
      <w:r w:rsidRPr="00A96C05">
        <w:rPr>
          <w:rFonts w:cs="David" w:hint="cs"/>
          <w:u w:val="none"/>
          <w:rtl/>
          <w:lang w:bidi="he-IL"/>
        </w:rPr>
        <w:t>)</w:t>
      </w:r>
      <w:r w:rsidRPr="00A96C05">
        <w:rPr>
          <w:rFonts w:cs="David"/>
          <w:u w:val="none"/>
          <w:rtl/>
          <w:lang w:bidi="he-IL"/>
        </w:rPr>
        <w:t>: גישות ת</w:t>
      </w:r>
      <w:r w:rsidRPr="00A96C05">
        <w:rPr>
          <w:rFonts w:cs="David" w:hint="cs"/>
          <w:u w:val="none"/>
          <w:rtl/>
          <w:lang w:bidi="he-IL"/>
        </w:rPr>
        <w:t>י</w:t>
      </w:r>
      <w:r w:rsidRPr="00A96C05">
        <w:rPr>
          <w:rFonts w:cs="David"/>
          <w:u w:val="none"/>
          <w:rtl/>
          <w:lang w:bidi="he-IL"/>
        </w:rPr>
        <w:t>אורטיות לחקר המשפחה</w:t>
      </w:r>
    </w:p>
    <w:p w:rsidR="00863787" w:rsidRPr="00A96C05" w:rsidRDefault="00863787" w:rsidP="00863787">
      <w:pPr>
        <w:pStyle w:val="7"/>
        <w:jc w:val="right"/>
        <w:rPr>
          <w:rFonts w:ascii="Times New Roman" w:hAnsi="Times New Roman" w:cs="David"/>
          <w:rtl/>
          <w:lang w:bidi="he-IL"/>
        </w:rPr>
      </w:pPr>
    </w:p>
    <w:p w:rsidR="00863787" w:rsidRPr="00A96C05" w:rsidRDefault="00863787" w:rsidP="00863787">
      <w:pPr>
        <w:jc w:val="right"/>
        <w:rPr>
          <w:rFonts w:ascii="David" w:hAnsi="David" w:cs="David"/>
          <w:rtl/>
        </w:rPr>
      </w:pPr>
      <w:r w:rsidRPr="00A96C05">
        <w:t xml:space="preserve">Parsons, T. and R. Bales. 1955. “Principle Functions... “ and “Sex Role and the Family.” Pp. 16- 26 in Parsons and Bales (eds.) </w:t>
      </w:r>
      <w:r w:rsidRPr="00A96C05">
        <w:rPr>
          <w:i/>
          <w:iCs/>
        </w:rPr>
        <w:t>Family, Socialization and Interaction Process</w:t>
      </w:r>
      <w:r w:rsidRPr="00A96C05">
        <w:t xml:space="preserve">. Glencoe: The Free Press.                                                                                                                                         </w:t>
      </w:r>
      <w:r w:rsidRPr="00A96C05">
        <w:rPr>
          <w:rFonts w:ascii="David" w:hAnsi="David" w:cs="David"/>
          <w:rtl/>
        </w:rPr>
        <w:t xml:space="preserve">  </w:t>
      </w:r>
      <w:r w:rsidRPr="00A96C05">
        <w:t xml:space="preserve"> </w:t>
      </w:r>
    </w:p>
    <w:p w:rsidR="00863787" w:rsidRPr="00A96C05" w:rsidRDefault="00863787" w:rsidP="00863787">
      <w:pPr>
        <w:jc w:val="both"/>
      </w:pPr>
      <w:r w:rsidRPr="00A96C05">
        <w:t xml:space="preserve">Oppenheimer, Valerie K.  1997.  “Women’s Employment and the Gain to Marriage: The Specialization and Trading Model” </w:t>
      </w:r>
      <w:r w:rsidRPr="00A96C05">
        <w:rPr>
          <w:i/>
          <w:iCs/>
        </w:rPr>
        <w:t>Annual Review of Sociology</w:t>
      </w:r>
      <w:r w:rsidRPr="00A96C05">
        <w:t xml:space="preserve"> 23:431-453.</w:t>
      </w:r>
    </w:p>
    <w:p w:rsidR="00863787" w:rsidRPr="00A96C05" w:rsidRDefault="00863787" w:rsidP="00863787">
      <w:pPr>
        <w:tabs>
          <w:tab w:val="left" w:pos="-720"/>
        </w:tabs>
        <w:jc w:val="both"/>
      </w:pPr>
    </w:p>
    <w:p w:rsidR="004A4306" w:rsidRDefault="00EC6529" w:rsidP="00EC6529">
      <w:pPr>
        <w:pStyle w:val="6"/>
        <w:jc w:val="left"/>
        <w:rPr>
          <w:rFonts w:ascii="Times New Roman" w:hAnsi="Times New Roman" w:cs="David"/>
          <w:b w:val="0"/>
          <w:bCs w:val="0"/>
          <w:u w:val="none"/>
          <w:lang w:bidi="he-IL"/>
        </w:rPr>
      </w:pPr>
      <w:proofErr w:type="spellStart"/>
      <w:r w:rsidRPr="00EC6529">
        <w:rPr>
          <w:rFonts w:ascii="Times New Roman" w:hAnsi="Times New Roman" w:cs="David"/>
          <w:b w:val="0"/>
          <w:bCs w:val="0"/>
          <w:u w:val="none"/>
          <w:lang w:bidi="he-IL"/>
        </w:rPr>
        <w:t>Lesthaeghe</w:t>
      </w:r>
      <w:proofErr w:type="spellEnd"/>
      <w:r w:rsidRPr="00EC6529">
        <w:rPr>
          <w:rFonts w:ascii="Times New Roman" w:hAnsi="Times New Roman" w:cs="David"/>
          <w:b w:val="0"/>
          <w:bCs w:val="0"/>
          <w:u w:val="none"/>
          <w:lang w:bidi="he-IL"/>
        </w:rPr>
        <w:t xml:space="preserve">, Ron. 2010. The Unfolding Story of the Second Demographic Transition. </w:t>
      </w:r>
      <w:r w:rsidRPr="00EC6529">
        <w:rPr>
          <w:rFonts w:ascii="Times New Roman" w:hAnsi="Times New Roman" w:cs="David"/>
          <w:b w:val="0"/>
          <w:bCs w:val="0"/>
          <w:i/>
          <w:iCs/>
          <w:u w:val="none"/>
          <w:lang w:bidi="he-IL"/>
        </w:rPr>
        <w:t>Population and Development Review</w:t>
      </w:r>
      <w:r w:rsidRPr="00EC6529">
        <w:rPr>
          <w:rFonts w:ascii="Times New Roman" w:hAnsi="Times New Roman" w:cs="David"/>
          <w:b w:val="0"/>
          <w:bCs w:val="0"/>
          <w:u w:val="none"/>
          <w:lang w:bidi="he-IL"/>
        </w:rPr>
        <w:t xml:space="preserve">36 </w:t>
      </w:r>
      <w:proofErr w:type="gramStart"/>
      <w:r w:rsidRPr="00EC6529">
        <w:rPr>
          <w:rFonts w:ascii="Times New Roman" w:hAnsi="Times New Roman" w:cs="David"/>
          <w:b w:val="0"/>
          <w:bCs w:val="0"/>
          <w:u w:val="none"/>
          <w:lang w:bidi="he-IL"/>
        </w:rPr>
        <w:t>( 2</w:t>
      </w:r>
      <w:proofErr w:type="gramEnd"/>
      <w:r w:rsidRPr="00EC6529">
        <w:rPr>
          <w:rFonts w:ascii="Times New Roman" w:hAnsi="Times New Roman" w:cs="David"/>
          <w:b w:val="0"/>
          <w:bCs w:val="0"/>
          <w:u w:val="none"/>
          <w:lang w:bidi="he-IL"/>
        </w:rPr>
        <w:t xml:space="preserve"> ): 211–25</w:t>
      </w:r>
      <w:r w:rsidR="0039429A">
        <w:rPr>
          <w:rFonts w:ascii="Times New Roman" w:hAnsi="Times New Roman" w:cs="David"/>
          <w:b w:val="0"/>
          <w:bCs w:val="0"/>
          <w:u w:val="none"/>
          <w:lang w:bidi="he-IL"/>
        </w:rPr>
        <w:t xml:space="preserve">1 </w:t>
      </w:r>
    </w:p>
    <w:p w:rsidR="004A4306" w:rsidRDefault="004A4306" w:rsidP="00EC6529">
      <w:pPr>
        <w:pStyle w:val="6"/>
        <w:jc w:val="left"/>
        <w:rPr>
          <w:rFonts w:ascii="Times New Roman" w:hAnsi="Times New Roman" w:cs="David"/>
          <w:b w:val="0"/>
          <w:bCs w:val="0"/>
          <w:u w:val="none"/>
          <w:lang w:bidi="he-IL"/>
        </w:rPr>
      </w:pPr>
    </w:p>
    <w:p w:rsidR="00863787" w:rsidRPr="004A4306" w:rsidRDefault="004A4306" w:rsidP="004A4306">
      <w:pPr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  <w:proofErr w:type="spellStart"/>
      <w:r w:rsidRPr="004A4306">
        <w:rPr>
          <w:rFonts w:cs="David"/>
        </w:rPr>
        <w:t>Goldcheider</w:t>
      </w:r>
      <w:proofErr w:type="spellEnd"/>
      <w:proofErr w:type="gramStart"/>
      <w:r w:rsidRPr="004A4306">
        <w:rPr>
          <w:rFonts w:cs="David"/>
        </w:rPr>
        <w:t xml:space="preserve">, </w:t>
      </w:r>
      <w:r w:rsidR="00EC6529" w:rsidRPr="004A4306">
        <w:rPr>
          <w:rFonts w:cs="David"/>
        </w:rPr>
        <w:t xml:space="preserve"> </w:t>
      </w:r>
      <w:r w:rsidRPr="004A4306">
        <w:rPr>
          <w:rFonts w:cs="David"/>
        </w:rPr>
        <w:t>F</w:t>
      </w:r>
      <w:proofErr w:type="gramEnd"/>
      <w:r w:rsidRPr="004A4306">
        <w:rPr>
          <w:rFonts w:cs="David"/>
        </w:rPr>
        <w:t xml:space="preserve">., Bernhardt E. &amp; T. </w:t>
      </w:r>
      <w:proofErr w:type="spellStart"/>
      <w:r w:rsidRPr="004A4306">
        <w:rPr>
          <w:rFonts w:cs="David"/>
        </w:rPr>
        <w:t>Lappegard</w:t>
      </w:r>
      <w:proofErr w:type="spellEnd"/>
      <w:r w:rsidRPr="004A4306">
        <w:rPr>
          <w:rFonts w:cs="David"/>
        </w:rPr>
        <w:t>. 2015</w:t>
      </w:r>
      <w:r>
        <w:rPr>
          <w:rFonts w:cs="David"/>
          <w:b/>
          <w:bCs/>
        </w:rPr>
        <w:t xml:space="preserve">. </w:t>
      </w:r>
      <w:r w:rsidRPr="004A4306">
        <w:rPr>
          <w:rFonts w:asciiTheme="majorBidi" w:eastAsiaTheme="minorHAnsi" w:hAnsiTheme="majorBidi" w:cstheme="majorBidi"/>
          <w:lang w:eastAsia="en-US"/>
        </w:rPr>
        <w:t>The Gender Revolution: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4A4306">
        <w:rPr>
          <w:rFonts w:asciiTheme="majorBidi" w:eastAsiaTheme="minorHAnsi" w:hAnsiTheme="majorBidi" w:cstheme="majorBidi"/>
          <w:lang w:eastAsia="en-US"/>
        </w:rPr>
        <w:t>A Framework for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4A4306">
        <w:rPr>
          <w:rFonts w:asciiTheme="majorBidi" w:eastAsiaTheme="minorHAnsi" w:hAnsiTheme="majorBidi" w:cstheme="majorBidi"/>
          <w:lang w:eastAsia="en-US"/>
        </w:rPr>
        <w:t>Understanding Changing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4A4306">
        <w:rPr>
          <w:rFonts w:asciiTheme="majorBidi" w:eastAsiaTheme="minorHAnsi" w:hAnsiTheme="majorBidi" w:cstheme="majorBidi"/>
          <w:lang w:eastAsia="en-US"/>
        </w:rPr>
        <w:t>Family and Demographic</w:t>
      </w:r>
      <w:r>
        <w:rPr>
          <w:rFonts w:asciiTheme="majorBidi" w:eastAsiaTheme="minorHAnsi" w:hAnsiTheme="majorBidi" w:cstheme="majorBidi"/>
          <w:lang w:eastAsia="en-US"/>
        </w:rPr>
        <w:t xml:space="preserve"> </w:t>
      </w:r>
      <w:r w:rsidRPr="004A4306">
        <w:rPr>
          <w:rFonts w:asciiTheme="majorBidi" w:eastAsiaTheme="minorHAnsi" w:hAnsiTheme="majorBidi" w:cstheme="majorBidi"/>
          <w:lang w:eastAsia="en-US"/>
        </w:rPr>
        <w:t>Behavior</w:t>
      </w:r>
      <w:r>
        <w:rPr>
          <w:rFonts w:asciiTheme="majorBidi" w:eastAsiaTheme="minorHAnsi" w:hAnsiTheme="majorBidi" w:cstheme="majorBidi"/>
          <w:lang w:eastAsia="en-US"/>
        </w:rPr>
        <w:t xml:space="preserve">. </w:t>
      </w:r>
      <w:r w:rsidRPr="00EC6529">
        <w:rPr>
          <w:rFonts w:cs="David"/>
          <w:i/>
          <w:iCs/>
        </w:rPr>
        <w:t>Population and Development Revie</w:t>
      </w:r>
      <w:r>
        <w:rPr>
          <w:rFonts w:cs="David"/>
          <w:i/>
          <w:iCs/>
        </w:rPr>
        <w:t>w</w:t>
      </w:r>
      <w:r>
        <w:rPr>
          <w:rFonts w:cs="David"/>
        </w:rPr>
        <w:t xml:space="preserve"> </w:t>
      </w:r>
      <w:r w:rsidRPr="004A4306">
        <w:rPr>
          <w:rFonts w:asciiTheme="majorBidi" w:eastAsiaTheme="minorHAnsi" w:hAnsiTheme="majorBidi" w:cstheme="majorBidi"/>
          <w:lang w:eastAsia="en-US"/>
        </w:rPr>
        <w:t>41(2): 207–239</w:t>
      </w:r>
    </w:p>
    <w:p w:rsidR="00014DE2" w:rsidRDefault="00014DE2" w:rsidP="00EC6529">
      <w:pPr>
        <w:rPr>
          <w:rtl/>
          <w:lang w:eastAsia="en-US"/>
        </w:rPr>
      </w:pPr>
    </w:p>
    <w:p w:rsidR="00EC6529" w:rsidRPr="00014DE2" w:rsidRDefault="00014DE2" w:rsidP="00EC6529">
      <w:pPr>
        <w:rPr>
          <w:rtl/>
          <w:lang w:eastAsia="en-US"/>
        </w:rPr>
      </w:pPr>
      <w:r>
        <w:rPr>
          <w:rFonts w:hint="cs"/>
          <w:rtl/>
          <w:lang w:eastAsia="en-US"/>
        </w:rPr>
        <w:t>קריאת רשות:</w:t>
      </w:r>
    </w:p>
    <w:p w:rsidR="00EC6529" w:rsidRDefault="00014DE2" w:rsidP="00BB1519">
      <w:pPr>
        <w:pStyle w:val="6"/>
        <w:bidi/>
        <w:jc w:val="left"/>
        <w:rPr>
          <w:rFonts w:cs="David"/>
          <w:b w:val="0"/>
          <w:bCs w:val="0"/>
          <w:u w:val="none"/>
          <w:rtl/>
          <w:lang w:bidi="he-IL"/>
        </w:rPr>
      </w:pPr>
      <w:r w:rsidRPr="00014DE2">
        <w:rPr>
          <w:rFonts w:cs="David" w:hint="cs"/>
          <w:b w:val="0"/>
          <w:bCs w:val="0"/>
          <w:u w:val="none"/>
          <w:rtl/>
        </w:rPr>
        <w:t>*</w:t>
      </w:r>
      <w:r w:rsidRPr="00014DE2">
        <w:rPr>
          <w:rFonts w:cs="David"/>
          <w:b w:val="0"/>
          <w:bCs w:val="0"/>
          <w:u w:val="none"/>
          <w:rtl/>
          <w:lang w:bidi="he-IL"/>
        </w:rPr>
        <w:t>מרקס</w:t>
      </w:r>
      <w:r w:rsidRPr="00014DE2">
        <w:rPr>
          <w:rFonts w:cs="David"/>
          <w:b w:val="0"/>
          <w:bCs w:val="0"/>
          <w:u w:val="none"/>
          <w:rtl/>
        </w:rPr>
        <w:t xml:space="preserve">, </w:t>
      </w:r>
      <w:r w:rsidRPr="00014DE2">
        <w:rPr>
          <w:rFonts w:cs="David"/>
          <w:b w:val="0"/>
          <w:bCs w:val="0"/>
          <w:u w:val="none"/>
          <w:rtl/>
          <w:lang w:bidi="he-IL"/>
        </w:rPr>
        <w:t>ק</w:t>
      </w:r>
      <w:r w:rsidRPr="00014DE2">
        <w:rPr>
          <w:rFonts w:cs="David"/>
          <w:b w:val="0"/>
          <w:bCs w:val="0"/>
          <w:u w:val="none"/>
          <w:rtl/>
        </w:rPr>
        <w:t xml:space="preserve">. </w:t>
      </w:r>
      <w:r w:rsidRPr="00014DE2">
        <w:rPr>
          <w:rFonts w:cs="David"/>
          <w:b w:val="0"/>
          <w:bCs w:val="0"/>
          <w:u w:val="none"/>
          <w:rtl/>
          <w:lang w:bidi="he-IL"/>
        </w:rPr>
        <w:t>ופ</w:t>
      </w:r>
      <w:r w:rsidRPr="00014DE2">
        <w:rPr>
          <w:rFonts w:cs="David"/>
          <w:b w:val="0"/>
          <w:bCs w:val="0"/>
          <w:u w:val="none"/>
          <w:rtl/>
        </w:rPr>
        <w:t xml:space="preserve">. </w:t>
      </w:r>
      <w:r w:rsidRPr="00014DE2">
        <w:rPr>
          <w:rFonts w:cs="David"/>
          <w:b w:val="0"/>
          <w:bCs w:val="0"/>
          <w:u w:val="none"/>
          <w:rtl/>
          <w:lang w:bidi="he-IL"/>
        </w:rPr>
        <w:t>אנגלס</w:t>
      </w:r>
      <w:r w:rsidRPr="00014DE2">
        <w:rPr>
          <w:rFonts w:cs="David"/>
          <w:b w:val="0"/>
          <w:bCs w:val="0"/>
          <w:u w:val="none"/>
          <w:rtl/>
        </w:rPr>
        <w:t>. "</w:t>
      </w:r>
      <w:r w:rsidRPr="00014DE2">
        <w:rPr>
          <w:rFonts w:cs="David"/>
          <w:b w:val="0"/>
          <w:bCs w:val="0"/>
          <w:u w:val="none"/>
          <w:rtl/>
          <w:lang w:bidi="he-IL"/>
        </w:rPr>
        <w:t>מוצא המשפחה</w:t>
      </w:r>
      <w:r w:rsidRPr="00014DE2">
        <w:rPr>
          <w:rFonts w:cs="David"/>
          <w:b w:val="0"/>
          <w:bCs w:val="0"/>
          <w:u w:val="none"/>
          <w:rtl/>
        </w:rPr>
        <w:t xml:space="preserve">, </w:t>
      </w:r>
      <w:r w:rsidRPr="00014DE2">
        <w:rPr>
          <w:rFonts w:cs="David"/>
          <w:b w:val="0"/>
          <w:bCs w:val="0"/>
          <w:u w:val="none"/>
          <w:rtl/>
          <w:lang w:bidi="he-IL"/>
        </w:rPr>
        <w:t>הקנין הפרטי והמדינה</w:t>
      </w:r>
      <w:r w:rsidRPr="00014DE2">
        <w:rPr>
          <w:rFonts w:cs="David"/>
          <w:b w:val="0"/>
          <w:bCs w:val="0"/>
          <w:u w:val="none"/>
          <w:rtl/>
        </w:rPr>
        <w:t xml:space="preserve">" </w:t>
      </w:r>
      <w:r w:rsidRPr="00014DE2">
        <w:rPr>
          <w:rFonts w:cs="David"/>
          <w:b w:val="0"/>
          <w:bCs w:val="0"/>
          <w:u w:val="none"/>
          <w:rtl/>
          <w:lang w:bidi="he-IL"/>
        </w:rPr>
        <w:t xml:space="preserve">מתוך </w:t>
      </w:r>
      <w:r w:rsidRPr="00014DE2">
        <w:rPr>
          <w:rFonts w:cs="David"/>
          <w:b w:val="0"/>
          <w:bCs w:val="0"/>
          <w:u w:val="none"/>
          <w:rtl/>
        </w:rPr>
        <w:t>"</w:t>
      </w:r>
      <w:r w:rsidRPr="00014DE2">
        <w:rPr>
          <w:rFonts w:cs="David"/>
          <w:b w:val="0"/>
          <w:bCs w:val="0"/>
          <w:u w:val="none"/>
          <w:rtl/>
          <w:lang w:bidi="he-IL"/>
        </w:rPr>
        <w:t>כתבים נבחרים</w:t>
      </w:r>
      <w:r w:rsidRPr="00014DE2">
        <w:rPr>
          <w:rFonts w:cs="David"/>
          <w:b w:val="0"/>
          <w:bCs w:val="0"/>
          <w:u w:val="none"/>
          <w:rtl/>
        </w:rPr>
        <w:t xml:space="preserve">, </w:t>
      </w:r>
      <w:r w:rsidRPr="00014DE2">
        <w:rPr>
          <w:rFonts w:cs="David"/>
          <w:b w:val="0"/>
          <w:bCs w:val="0"/>
          <w:u w:val="none"/>
          <w:rtl/>
          <w:lang w:bidi="he-IL"/>
        </w:rPr>
        <w:t>חלק ב</w:t>
      </w:r>
      <w:r w:rsidRPr="00014DE2">
        <w:rPr>
          <w:rFonts w:cs="David"/>
          <w:b w:val="0"/>
          <w:bCs w:val="0"/>
          <w:u w:val="none"/>
          <w:rtl/>
        </w:rPr>
        <w:t xml:space="preserve">' </w:t>
      </w:r>
      <w:r w:rsidRPr="00014DE2">
        <w:rPr>
          <w:rFonts w:cs="David"/>
          <w:b w:val="0"/>
          <w:bCs w:val="0"/>
          <w:u w:val="none"/>
          <w:rtl/>
          <w:lang w:bidi="he-IL"/>
        </w:rPr>
        <w:t>עמ</w:t>
      </w:r>
      <w:r w:rsidRPr="00014DE2">
        <w:rPr>
          <w:rFonts w:cs="David"/>
          <w:b w:val="0"/>
          <w:bCs w:val="0"/>
          <w:u w:val="none"/>
          <w:rtl/>
        </w:rPr>
        <w:t xml:space="preserve">' </w:t>
      </w:r>
      <w:r w:rsidRPr="00014DE2">
        <w:rPr>
          <w:rFonts w:cs="David" w:hint="cs"/>
          <w:b w:val="0"/>
          <w:bCs w:val="0"/>
          <w:u w:val="none"/>
          <w:rtl/>
        </w:rPr>
        <w:t>1</w:t>
      </w:r>
      <w:r w:rsidRPr="00014DE2">
        <w:rPr>
          <w:rFonts w:cs="David"/>
          <w:b w:val="0"/>
          <w:bCs w:val="0"/>
          <w:u w:val="none"/>
          <w:rtl/>
        </w:rPr>
        <w:t>83-141</w:t>
      </w:r>
    </w:p>
    <w:p w:rsidR="00014DE2" w:rsidRDefault="00014DE2" w:rsidP="00014DE2">
      <w:pPr>
        <w:rPr>
          <w:rtl/>
          <w:lang w:eastAsia="en-US"/>
        </w:rPr>
      </w:pPr>
    </w:p>
    <w:p w:rsidR="00014DE2" w:rsidRPr="00014DE2" w:rsidRDefault="00014DE2" w:rsidP="00014DE2">
      <w:pPr>
        <w:rPr>
          <w:rtl/>
          <w:lang w:eastAsia="en-US"/>
        </w:rPr>
      </w:pPr>
    </w:p>
    <w:p w:rsidR="00863787" w:rsidRPr="00A96C05" w:rsidRDefault="00863787" w:rsidP="00B62E1C">
      <w:pPr>
        <w:pStyle w:val="6"/>
        <w:bidi/>
        <w:jc w:val="left"/>
        <w:rPr>
          <w:rFonts w:cs="David"/>
          <w:u w:val="none"/>
          <w:rtl/>
          <w:lang w:bidi="he-IL"/>
        </w:rPr>
      </w:pPr>
      <w:r w:rsidRPr="00A96C05">
        <w:rPr>
          <w:rFonts w:cs="David"/>
          <w:u w:val="none"/>
          <w:rtl/>
          <w:lang w:bidi="he-IL"/>
        </w:rPr>
        <w:lastRenderedPageBreak/>
        <w:t>שעור</w:t>
      </w:r>
      <w:r w:rsidRPr="00A96C05">
        <w:rPr>
          <w:rFonts w:ascii="Calibri" w:hAnsi="Calibri" w:cs="David"/>
          <w:u w:val="none"/>
          <w:lang w:bidi="he-IL"/>
        </w:rPr>
        <w:t xml:space="preserve"> </w:t>
      </w:r>
      <w:r w:rsidR="00BB1519">
        <w:rPr>
          <w:rFonts w:cs="David" w:hint="cs"/>
          <w:u w:val="none"/>
          <w:rtl/>
          <w:lang w:bidi="he-IL"/>
        </w:rPr>
        <w:t>4</w:t>
      </w:r>
      <w:r w:rsidRPr="00A96C05">
        <w:rPr>
          <w:rFonts w:cs="David" w:hint="cs"/>
          <w:u w:val="none"/>
          <w:rtl/>
          <w:lang w:bidi="he-IL"/>
        </w:rPr>
        <w:t xml:space="preserve"> (</w:t>
      </w:r>
      <w:r w:rsidR="00B62E1C">
        <w:rPr>
          <w:rFonts w:cs="David" w:hint="cs"/>
          <w:u w:val="none"/>
          <w:rtl/>
          <w:lang w:bidi="he-IL"/>
        </w:rPr>
        <w:t>17.3</w:t>
      </w:r>
      <w:r w:rsidRPr="00A96C05">
        <w:rPr>
          <w:rFonts w:cs="David" w:hint="cs"/>
          <w:u w:val="none"/>
          <w:rtl/>
          <w:lang w:bidi="he-IL"/>
        </w:rPr>
        <w:t>)</w:t>
      </w:r>
      <w:r w:rsidRPr="00A96C05">
        <w:rPr>
          <w:rFonts w:cs="David"/>
          <w:u w:val="none"/>
          <w:rtl/>
          <w:lang w:bidi="he-IL"/>
        </w:rPr>
        <w:t xml:space="preserve">: </w:t>
      </w:r>
      <w:r w:rsidR="000E6A1D">
        <w:rPr>
          <w:rFonts w:cs="David" w:hint="cs"/>
          <w:u w:val="none"/>
          <w:rtl/>
          <w:lang w:bidi="he-IL"/>
        </w:rPr>
        <w:t>זוגיות וכניסה לחיי משפחה</w:t>
      </w:r>
    </w:p>
    <w:p w:rsidR="00863787" w:rsidRPr="00A96C05" w:rsidRDefault="00863787" w:rsidP="00863787">
      <w:pPr>
        <w:jc w:val="right"/>
      </w:pPr>
    </w:p>
    <w:p w:rsidR="008B32FB" w:rsidRPr="007F7E4D" w:rsidRDefault="008B32FB" w:rsidP="008B32FB">
      <w:pPr>
        <w:bidi w:val="0"/>
      </w:pPr>
      <w:proofErr w:type="spellStart"/>
      <w:r>
        <w:t>Kalmijn</w:t>
      </w:r>
      <w:proofErr w:type="spellEnd"/>
      <w:r>
        <w:t xml:space="preserve"> M. 2013. "The Educational Gradient in Marriage: A Comparison of 25 European Countries." </w:t>
      </w:r>
      <w:r>
        <w:rPr>
          <w:i/>
          <w:iCs/>
        </w:rPr>
        <w:t>Demography</w:t>
      </w:r>
      <w:r>
        <w:t xml:space="preserve"> </w:t>
      </w:r>
      <w:r w:rsidRPr="007F7E4D">
        <w:t>50:1499–1520</w:t>
      </w:r>
    </w:p>
    <w:p w:rsidR="00863787" w:rsidRPr="008B32FB" w:rsidRDefault="00863787" w:rsidP="00863787">
      <w:pPr>
        <w:jc w:val="right"/>
        <w:rPr>
          <w:rFonts w:ascii="David" w:hAnsi="David" w:cs="David"/>
          <w:rtl/>
        </w:rPr>
      </w:pPr>
    </w:p>
    <w:p w:rsidR="00F32DFA" w:rsidRPr="00C862A5" w:rsidRDefault="00F32DFA" w:rsidP="00F32DFA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eastAsia="en-US"/>
        </w:rPr>
      </w:pPr>
      <w:r w:rsidRPr="00C862A5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Pr="00C862A5">
        <w:rPr>
          <w:rFonts w:asciiTheme="majorBidi" w:eastAsiaTheme="minorHAnsi" w:hAnsiTheme="majorBidi" w:cstheme="majorBidi"/>
          <w:lang w:eastAsia="en-US"/>
        </w:rPr>
        <w:t>Perelli</w:t>
      </w:r>
      <w:proofErr w:type="spellEnd"/>
      <w:r w:rsidRPr="00C862A5">
        <w:rPr>
          <w:rFonts w:asciiTheme="majorBidi" w:eastAsiaTheme="minorHAnsi" w:hAnsiTheme="majorBidi" w:cstheme="majorBidi"/>
          <w:lang w:eastAsia="en-US"/>
        </w:rPr>
        <w:t xml:space="preserve">-Harris, B. &amp; </w:t>
      </w:r>
      <w:r w:rsidR="00C862A5" w:rsidRPr="00C862A5">
        <w:rPr>
          <w:rFonts w:asciiTheme="majorBidi" w:eastAsiaTheme="minorHAnsi" w:hAnsiTheme="majorBidi" w:cstheme="majorBidi"/>
          <w:lang w:eastAsia="en-US"/>
        </w:rPr>
        <w:t>N. Sánchez Gassen</w:t>
      </w:r>
      <w:r w:rsidRPr="00C862A5">
        <w:rPr>
          <w:rFonts w:asciiTheme="majorBidi" w:eastAsiaTheme="minorHAnsi" w:hAnsiTheme="majorBidi" w:cstheme="majorBidi"/>
          <w:lang w:eastAsia="en-US"/>
        </w:rPr>
        <w:t xml:space="preserve">.2012. How Similar Are Cohabitation and Marriage? Legal Approaches to Cohabitation across Western Europe. </w:t>
      </w:r>
      <w:r w:rsidRPr="00C862A5">
        <w:rPr>
          <w:rFonts w:asciiTheme="majorBidi" w:eastAsiaTheme="minorHAnsi" w:hAnsiTheme="majorBidi" w:cstheme="majorBidi"/>
          <w:i/>
          <w:iCs/>
          <w:lang w:eastAsia="en-US"/>
        </w:rPr>
        <w:t xml:space="preserve">Population and Development Review </w:t>
      </w:r>
      <w:r w:rsidRPr="00C862A5">
        <w:rPr>
          <w:rFonts w:asciiTheme="majorBidi" w:eastAsiaTheme="minorHAnsi" w:hAnsiTheme="majorBidi" w:cstheme="majorBidi"/>
          <w:lang w:eastAsia="en-US"/>
        </w:rPr>
        <w:t>38(3) : 435–467</w:t>
      </w:r>
    </w:p>
    <w:p w:rsidR="00F32DFA" w:rsidRDefault="00F32DFA" w:rsidP="00F32DFA">
      <w:pPr>
        <w:autoSpaceDE w:val="0"/>
        <w:autoSpaceDN w:val="0"/>
        <w:bidi w:val="0"/>
        <w:adjustRightInd w:val="0"/>
        <w:rPr>
          <w:rFonts w:ascii="Meridien-Bold" w:eastAsiaTheme="minorHAnsi" w:hAnsi="Meridien-Bold" w:cs="Meridien-Bold"/>
          <w:b/>
          <w:bCs/>
          <w:sz w:val="32"/>
          <w:szCs w:val="32"/>
          <w:lang w:eastAsia="en-US"/>
        </w:rPr>
      </w:pPr>
    </w:p>
    <w:p w:rsidR="00863787" w:rsidRDefault="00863787" w:rsidP="00B62E1C">
      <w:pPr>
        <w:rPr>
          <w:rtl/>
        </w:rPr>
      </w:pPr>
      <w:r w:rsidRPr="00A96C05">
        <w:rPr>
          <w:rFonts w:ascii="Calibri" w:hAnsi="Calibri" w:cs="David" w:hint="cs"/>
          <w:bCs/>
          <w:rtl/>
        </w:rPr>
        <w:t xml:space="preserve">שעור </w:t>
      </w:r>
      <w:r w:rsidR="00BB1519">
        <w:rPr>
          <w:rFonts w:ascii="Calibri" w:hAnsi="Calibri" w:cs="David" w:hint="cs"/>
          <w:bCs/>
          <w:rtl/>
        </w:rPr>
        <w:t>5</w:t>
      </w:r>
      <w:r w:rsidRPr="00A96C05">
        <w:rPr>
          <w:rFonts w:ascii="Calibri" w:hAnsi="Calibri" w:cs="David" w:hint="cs"/>
          <w:bCs/>
          <w:rtl/>
        </w:rPr>
        <w:t xml:space="preserve"> (</w:t>
      </w:r>
      <w:r w:rsidR="00B62E1C">
        <w:rPr>
          <w:rFonts w:ascii="Calibri" w:hAnsi="Calibri" w:cs="David" w:hint="cs"/>
          <w:bCs/>
          <w:rtl/>
        </w:rPr>
        <w:t>30.3</w:t>
      </w:r>
      <w:r w:rsidRPr="00A96C05">
        <w:rPr>
          <w:rFonts w:ascii="Calibri" w:hAnsi="Calibri" w:cs="David" w:hint="cs"/>
          <w:bCs/>
          <w:rtl/>
        </w:rPr>
        <w:t xml:space="preserve">) </w:t>
      </w:r>
      <w:r w:rsidRPr="00A96C05">
        <w:rPr>
          <w:rFonts w:ascii="Calibri" w:hAnsi="Calibri" w:cs="David"/>
          <w:bCs/>
          <w:rtl/>
        </w:rPr>
        <w:t>–</w:t>
      </w:r>
      <w:r w:rsidR="00C547FE">
        <w:rPr>
          <w:rFonts w:hint="cs"/>
          <w:rtl/>
        </w:rPr>
        <w:t xml:space="preserve"> בחירת בני זוג</w:t>
      </w:r>
    </w:p>
    <w:p w:rsidR="00A83C6A" w:rsidRDefault="00A83C6A" w:rsidP="00C547FE">
      <w:pPr>
        <w:rPr>
          <w:rtl/>
        </w:rPr>
      </w:pPr>
    </w:p>
    <w:p w:rsidR="00A83C6A" w:rsidRDefault="00A83C6A" w:rsidP="00A83C6A">
      <w:r>
        <w:rPr>
          <w:rFonts w:ascii="David" w:hAnsi="David" w:cs="David"/>
          <w:rtl/>
        </w:rPr>
        <w:t xml:space="preserve">שביט, יוסי וחיה שטייר. 1997. עדתיות והשכלה בדפוסי נישואין בישראל. מגמות ל"ח, </w:t>
      </w:r>
      <w:r>
        <w:t>(2): 207-222</w:t>
      </w:r>
      <w:r>
        <w:rPr>
          <w:rFonts w:ascii="David" w:hAnsi="David" w:cs="David"/>
          <w:rtl/>
        </w:rPr>
        <w:t xml:space="preserve">. </w:t>
      </w:r>
    </w:p>
    <w:p w:rsidR="002B3C0B" w:rsidRDefault="002B3C0B" w:rsidP="00CF7A1D">
      <w:pPr>
        <w:bidi w:val="0"/>
        <w:rPr>
          <w:lang w:eastAsia="en-US"/>
        </w:rPr>
      </w:pPr>
    </w:p>
    <w:p w:rsidR="000E6A1D" w:rsidRPr="00D852AF" w:rsidRDefault="00D852AF" w:rsidP="00D852AF">
      <w:pPr>
        <w:autoSpaceDE w:val="0"/>
        <w:autoSpaceDN w:val="0"/>
        <w:bidi w:val="0"/>
        <w:adjustRightInd w:val="0"/>
        <w:rPr>
          <w:rFonts w:asciiTheme="majorBidi" w:hAnsiTheme="majorBidi" w:cstheme="majorBidi"/>
          <w:rtl/>
        </w:rPr>
      </w:pPr>
      <w:r>
        <w:rPr>
          <w:lang w:eastAsia="en-US"/>
        </w:rPr>
        <w:t xml:space="preserve">Schwartz, C. 2010. </w:t>
      </w:r>
      <w:r w:rsidRPr="00D852AF">
        <w:rPr>
          <w:rFonts w:asciiTheme="majorBidi" w:eastAsiaTheme="minorHAnsi" w:hAnsiTheme="majorBidi" w:cstheme="majorBidi"/>
          <w:lang w:eastAsia="en-US"/>
        </w:rPr>
        <w:t>Pathways to educational homogamy in</w:t>
      </w:r>
      <w:r>
        <w:rPr>
          <w:rFonts w:asciiTheme="majorBidi" w:eastAsiaTheme="minorHAnsi" w:hAnsiTheme="majorBidi" w:cstheme="majorBidi"/>
          <w:lang w:eastAsia="en-US"/>
        </w:rPr>
        <w:t xml:space="preserve"> m</w:t>
      </w:r>
      <w:r w:rsidRPr="00D852AF">
        <w:rPr>
          <w:rFonts w:asciiTheme="majorBidi" w:eastAsiaTheme="minorHAnsi" w:hAnsiTheme="majorBidi" w:cstheme="majorBidi"/>
          <w:lang w:eastAsia="en-US"/>
        </w:rPr>
        <w:t>arital and cohabiting unions</w:t>
      </w:r>
      <w:r>
        <w:t xml:space="preserve">. </w:t>
      </w:r>
      <w:r w:rsidRPr="00D852AF">
        <w:rPr>
          <w:rFonts w:asciiTheme="majorBidi" w:hAnsiTheme="majorBidi" w:cstheme="majorBidi"/>
          <w:i/>
          <w:iCs/>
        </w:rPr>
        <w:t>Demography</w:t>
      </w:r>
      <w:r w:rsidRPr="00D852AF">
        <w:rPr>
          <w:rFonts w:asciiTheme="majorBidi" w:hAnsiTheme="majorBidi" w:cstheme="majorBidi"/>
        </w:rPr>
        <w:t xml:space="preserve"> </w:t>
      </w:r>
      <w:r w:rsidRPr="00D852AF">
        <w:rPr>
          <w:rFonts w:asciiTheme="majorBidi" w:eastAsiaTheme="minorHAnsi" w:hAnsiTheme="majorBidi" w:cstheme="majorBidi"/>
          <w:lang w:eastAsia="en-US"/>
        </w:rPr>
        <w:t>47 (3):  735–753</w:t>
      </w:r>
    </w:p>
    <w:p w:rsidR="00863787" w:rsidRPr="00A96C05" w:rsidRDefault="00863787" w:rsidP="00863787">
      <w:pPr>
        <w:rPr>
          <w:rtl/>
        </w:rPr>
      </w:pPr>
    </w:p>
    <w:p w:rsidR="00863787" w:rsidRDefault="00863787" w:rsidP="003A46A0">
      <w:pPr>
        <w:pStyle w:val="6"/>
        <w:jc w:val="right"/>
        <w:rPr>
          <w:rFonts w:cs="David"/>
          <w:u w:val="none"/>
          <w:rtl/>
          <w:lang w:bidi="he-IL"/>
        </w:rPr>
      </w:pPr>
      <w:r w:rsidRPr="00A96C05">
        <w:rPr>
          <w:rFonts w:cs="David"/>
          <w:u w:val="none"/>
          <w:rtl/>
          <w:lang w:bidi="he-IL"/>
        </w:rPr>
        <w:t xml:space="preserve">שעור </w:t>
      </w:r>
      <w:r w:rsidR="00BB1519">
        <w:rPr>
          <w:rFonts w:cs="David" w:hint="cs"/>
          <w:u w:val="none"/>
          <w:rtl/>
          <w:lang w:bidi="he-IL"/>
        </w:rPr>
        <w:t>6</w:t>
      </w:r>
      <w:r w:rsidRPr="00A96C05">
        <w:rPr>
          <w:rFonts w:cs="David" w:hint="cs"/>
          <w:u w:val="none"/>
          <w:rtl/>
          <w:lang w:bidi="he-IL"/>
        </w:rPr>
        <w:t xml:space="preserve"> (</w:t>
      </w:r>
      <w:r w:rsidR="003A46A0">
        <w:rPr>
          <w:rFonts w:cs="David" w:hint="cs"/>
          <w:u w:val="none"/>
          <w:rtl/>
          <w:lang w:bidi="he-IL"/>
        </w:rPr>
        <w:t>7.4</w:t>
      </w:r>
      <w:r w:rsidRPr="00A96C05">
        <w:rPr>
          <w:rFonts w:cs="David" w:hint="cs"/>
          <w:u w:val="none"/>
          <w:rtl/>
          <w:lang w:bidi="he-IL"/>
        </w:rPr>
        <w:t xml:space="preserve">) </w:t>
      </w:r>
      <w:r w:rsidRPr="00A96C05">
        <w:rPr>
          <w:rFonts w:cs="David"/>
          <w:u w:val="none"/>
          <w:rtl/>
          <w:lang w:bidi="he-IL"/>
        </w:rPr>
        <w:t>: גירושין</w:t>
      </w:r>
    </w:p>
    <w:p w:rsidR="00C862A5" w:rsidRPr="00C862A5" w:rsidRDefault="00C862A5" w:rsidP="00C862A5">
      <w:pPr>
        <w:rPr>
          <w:lang w:eastAsia="en-US"/>
        </w:rPr>
      </w:pPr>
    </w:p>
    <w:p w:rsidR="00863787" w:rsidRDefault="00BF2FD3" w:rsidP="00863787">
      <w:pPr>
        <w:jc w:val="right"/>
        <w:rPr>
          <w:rtl/>
        </w:rPr>
      </w:pPr>
      <w:r>
        <w:t xml:space="preserve">Wagner, M. &amp; B. Weis. 2006. "On the Variation of Divorce Risk in Europe: Findings from a </w:t>
      </w:r>
      <w:r w:rsidR="00F7546B">
        <w:t>Meta-Analysis</w:t>
      </w:r>
      <w:r>
        <w:t xml:space="preserve"> of European Longitudinal Studies." </w:t>
      </w:r>
      <w:r>
        <w:rPr>
          <w:i/>
          <w:iCs/>
        </w:rPr>
        <w:t>European Sociological Review</w:t>
      </w:r>
      <w:r>
        <w:t xml:space="preserve"> 22(5): </w:t>
      </w:r>
      <w:r w:rsidR="00F7546B">
        <w:t>483-500</w:t>
      </w:r>
    </w:p>
    <w:p w:rsidR="007D59BA" w:rsidRDefault="007D59BA" w:rsidP="00863787">
      <w:pPr>
        <w:jc w:val="right"/>
        <w:rPr>
          <w:rtl/>
        </w:rPr>
      </w:pPr>
    </w:p>
    <w:p w:rsidR="007D59BA" w:rsidRPr="007D59BA" w:rsidRDefault="007D59BA" w:rsidP="007D59BA">
      <w:pPr>
        <w:bidi w:val="0"/>
      </w:pPr>
      <w:r>
        <w:t xml:space="preserve">Kaplan, A. &amp; </w:t>
      </w:r>
      <w:proofErr w:type="spellStart"/>
      <w:r>
        <w:t>Herbst</w:t>
      </w:r>
      <w:proofErr w:type="spellEnd"/>
      <w:r>
        <w:t xml:space="preserve"> A. 2015. Stratified patterns of divorce: Earnings, education and Gender. Demographic </w:t>
      </w:r>
      <w:r>
        <w:rPr>
          <w:i/>
          <w:iCs/>
        </w:rPr>
        <w:t>Research</w:t>
      </w:r>
      <w:r>
        <w:t xml:space="preserve"> 32(34): 949-982 </w:t>
      </w:r>
    </w:p>
    <w:p w:rsidR="00863787" w:rsidRPr="00A96C05" w:rsidRDefault="00863787" w:rsidP="00863787">
      <w:pPr>
        <w:jc w:val="both"/>
      </w:pPr>
    </w:p>
    <w:p w:rsidR="00863787" w:rsidRPr="00A96C05" w:rsidRDefault="00863787" w:rsidP="00863787">
      <w:pPr>
        <w:rPr>
          <w:rFonts w:cs="David"/>
          <w:i/>
          <w:iCs/>
          <w:rtl/>
        </w:rPr>
      </w:pPr>
      <w:r w:rsidRPr="00A96C05">
        <w:rPr>
          <w:rFonts w:cs="David" w:hint="cs"/>
          <w:rtl/>
        </w:rPr>
        <w:t xml:space="preserve">לוין, עליזה. 2006. </w:t>
      </w:r>
      <w:r w:rsidRPr="00A96C05">
        <w:rPr>
          <w:rStyle w:val="Hyperlink"/>
          <w:rFonts w:ascii="David" w:hAnsi="David" w:cs="David" w:hint="cs"/>
          <w:rtl/>
        </w:rPr>
        <w:t>גירושין בישראל: היבטים דמוגרפיים-חברתיים.</w:t>
      </w:r>
      <w:r w:rsidRPr="00A96C05">
        <w:rPr>
          <w:rFonts w:cs="David" w:hint="cs"/>
          <w:rtl/>
        </w:rPr>
        <w:t xml:space="preserve"> </w:t>
      </w:r>
      <w:r w:rsidRPr="00A96C05">
        <w:rPr>
          <w:rFonts w:cs="David" w:hint="cs"/>
          <w:i/>
          <w:iCs/>
          <w:rtl/>
        </w:rPr>
        <w:t>סוציולוגיה ישראלית</w:t>
      </w:r>
      <w:r w:rsidRPr="00A96C05">
        <w:rPr>
          <w:rFonts w:cs="David" w:hint="cs"/>
          <w:rtl/>
        </w:rPr>
        <w:t xml:space="preserve"> ח (1): 65-85</w:t>
      </w:r>
    </w:p>
    <w:p w:rsidR="00863787" w:rsidRPr="00A96C05" w:rsidRDefault="00863787" w:rsidP="00863787">
      <w:pPr>
        <w:rPr>
          <w:rFonts w:cs="David"/>
          <w:i/>
          <w:iCs/>
          <w:rtl/>
        </w:rPr>
      </w:pPr>
    </w:p>
    <w:p w:rsidR="00863787" w:rsidRDefault="00863787" w:rsidP="003A46A0">
      <w:pPr>
        <w:tabs>
          <w:tab w:val="left" w:pos="720"/>
          <w:tab w:val="left" w:pos="4320"/>
        </w:tabs>
        <w:spacing w:line="360" w:lineRule="atLeast"/>
        <w:rPr>
          <w:rFonts w:cs="David"/>
          <w:bCs/>
          <w:rtl/>
        </w:rPr>
      </w:pPr>
      <w:r w:rsidRPr="00A96C05">
        <w:rPr>
          <w:rFonts w:cs="David"/>
          <w:b/>
          <w:bCs/>
          <w:rtl/>
        </w:rPr>
        <w:t>שעור</w:t>
      </w:r>
      <w:r w:rsidR="00BF6870">
        <w:rPr>
          <w:rFonts w:cs="David" w:hint="cs"/>
          <w:b/>
          <w:bCs/>
          <w:rtl/>
        </w:rPr>
        <w:t xml:space="preserve">ים </w:t>
      </w:r>
      <w:r w:rsidR="00BB1519">
        <w:rPr>
          <w:rFonts w:cs="David" w:hint="cs"/>
          <w:b/>
          <w:bCs/>
          <w:rtl/>
        </w:rPr>
        <w:t>7</w:t>
      </w:r>
      <w:r w:rsidR="001B7A05">
        <w:rPr>
          <w:rFonts w:cs="David" w:hint="cs"/>
          <w:b/>
          <w:bCs/>
          <w:rtl/>
        </w:rPr>
        <w:t>-</w:t>
      </w:r>
      <w:r w:rsidRPr="00A96C05">
        <w:rPr>
          <w:rFonts w:cs="David"/>
          <w:b/>
          <w:bCs/>
          <w:rtl/>
        </w:rPr>
        <w:t xml:space="preserve"> </w:t>
      </w:r>
      <w:r w:rsidRPr="00A96C05">
        <w:rPr>
          <w:rFonts w:cs="David" w:hint="cs"/>
          <w:b/>
          <w:bCs/>
          <w:rtl/>
        </w:rPr>
        <w:t>8 (</w:t>
      </w:r>
      <w:r w:rsidR="00A67001">
        <w:rPr>
          <w:rFonts w:cs="David" w:hint="cs"/>
          <w:b/>
          <w:bCs/>
          <w:rtl/>
        </w:rPr>
        <w:t xml:space="preserve"> </w:t>
      </w:r>
      <w:r w:rsidR="003A46A0">
        <w:rPr>
          <w:rFonts w:cs="David" w:hint="cs"/>
          <w:b/>
          <w:bCs/>
          <w:rtl/>
        </w:rPr>
        <w:t>14.4, 17.4</w:t>
      </w:r>
      <w:r w:rsidRPr="00A96C05">
        <w:rPr>
          <w:rFonts w:cs="David" w:hint="cs"/>
          <w:b/>
          <w:bCs/>
          <w:rtl/>
        </w:rPr>
        <w:t>)</w:t>
      </w:r>
      <w:r w:rsidRPr="00A96C05">
        <w:rPr>
          <w:rFonts w:cs="David"/>
          <w:b/>
          <w:bCs/>
          <w:rtl/>
        </w:rPr>
        <w:t>:</w:t>
      </w:r>
      <w:r w:rsidRPr="00A96C05">
        <w:rPr>
          <w:rFonts w:ascii="David" w:hAnsi="David" w:cs="David"/>
          <w:bCs/>
          <w:rtl/>
        </w:rPr>
        <w:t xml:space="preserve"> </w:t>
      </w:r>
      <w:r w:rsidR="00CF7A1D">
        <w:rPr>
          <w:rFonts w:ascii="David" w:hAnsi="David" w:cs="David" w:hint="cs"/>
          <w:bCs/>
          <w:rtl/>
        </w:rPr>
        <w:t>ילודה</w:t>
      </w:r>
      <w:r w:rsidR="00BB1519">
        <w:rPr>
          <w:rFonts w:ascii="David" w:hAnsi="David" w:cs="David" w:hint="cs"/>
          <w:bCs/>
          <w:rtl/>
        </w:rPr>
        <w:t xml:space="preserve">, ילדות </w:t>
      </w:r>
      <w:r w:rsidR="00CF7A1D">
        <w:rPr>
          <w:rFonts w:ascii="David" w:hAnsi="David" w:cs="David" w:hint="cs"/>
          <w:bCs/>
          <w:rtl/>
        </w:rPr>
        <w:t xml:space="preserve"> ו</w:t>
      </w:r>
      <w:r w:rsidRPr="00A96C05">
        <w:rPr>
          <w:rFonts w:ascii="David" w:hAnsi="David" w:cs="David"/>
          <w:bCs/>
          <w:rtl/>
        </w:rPr>
        <w:t>הורות</w:t>
      </w:r>
    </w:p>
    <w:p w:rsidR="00863787" w:rsidRDefault="00997354" w:rsidP="003A46A0">
      <w:pPr>
        <w:pStyle w:val="a8"/>
        <w:numPr>
          <w:ilvl w:val="0"/>
          <w:numId w:val="4"/>
        </w:numPr>
        <w:tabs>
          <w:tab w:val="left" w:pos="720"/>
          <w:tab w:val="left" w:pos="4320"/>
        </w:tabs>
        <w:spacing w:line="360" w:lineRule="atLeast"/>
        <w:rPr>
          <w:rFonts w:cs="David"/>
        </w:rPr>
      </w:pPr>
      <w:r w:rsidRPr="00DE10F5">
        <w:rPr>
          <w:rFonts w:cs="David" w:hint="cs"/>
          <w:bCs/>
          <w:rtl/>
        </w:rPr>
        <w:t>ילודה</w:t>
      </w:r>
      <w:r w:rsidR="00A67001" w:rsidRPr="00DE10F5">
        <w:rPr>
          <w:rFonts w:cs="David" w:hint="cs"/>
          <w:bCs/>
          <w:rtl/>
        </w:rPr>
        <w:t xml:space="preserve"> </w:t>
      </w:r>
      <w:r w:rsidR="00C11723" w:rsidRPr="00DE10F5">
        <w:rPr>
          <w:rFonts w:cs="David" w:hint="cs"/>
          <w:bCs/>
          <w:rtl/>
        </w:rPr>
        <w:t xml:space="preserve"> וילדות</w:t>
      </w:r>
      <w:r w:rsidR="00DE10F5">
        <w:rPr>
          <w:rFonts w:cs="David" w:hint="cs"/>
          <w:bCs/>
          <w:rtl/>
        </w:rPr>
        <w:t xml:space="preserve"> </w:t>
      </w:r>
      <w:r w:rsidR="00A67001">
        <w:rPr>
          <w:rFonts w:cs="David" w:hint="cs"/>
          <w:rtl/>
        </w:rPr>
        <w:t>(</w:t>
      </w:r>
      <w:r w:rsidR="003A46A0">
        <w:rPr>
          <w:rFonts w:cs="David" w:hint="cs"/>
          <w:rtl/>
        </w:rPr>
        <w:t>7.4</w:t>
      </w:r>
      <w:r w:rsidR="00A67001">
        <w:rPr>
          <w:rFonts w:cs="David" w:hint="cs"/>
          <w:rtl/>
        </w:rPr>
        <w:t>)</w:t>
      </w:r>
    </w:p>
    <w:p w:rsidR="00F7546B" w:rsidRDefault="00F7546B" w:rsidP="00863787">
      <w:pPr>
        <w:jc w:val="right"/>
        <w:rPr>
          <w:rFonts w:cs="David"/>
        </w:rPr>
      </w:pPr>
    </w:p>
    <w:p w:rsidR="00F7546B" w:rsidRPr="008A0765" w:rsidRDefault="000026A5" w:rsidP="000026A5">
      <w:pPr>
        <w:bidi w:val="0"/>
        <w:spacing w:after="200" w:line="276" w:lineRule="auto"/>
        <w:rPr>
          <w:rFonts w:asciiTheme="majorBidi" w:hAnsiTheme="majorBidi" w:cstheme="majorBidi"/>
          <w:lang w:eastAsia="en-US"/>
        </w:rPr>
      </w:pPr>
      <w:proofErr w:type="spellStart"/>
      <w:r w:rsidRPr="008A0765">
        <w:rPr>
          <w:rFonts w:asciiTheme="majorBidi" w:hAnsiTheme="majorBidi" w:cstheme="majorBidi"/>
          <w:lang w:eastAsia="en-US"/>
        </w:rPr>
        <w:t>Merz</w:t>
      </w:r>
      <w:proofErr w:type="spellEnd"/>
      <w:r w:rsidRPr="008A0765">
        <w:rPr>
          <w:rFonts w:asciiTheme="majorBidi" w:hAnsiTheme="majorBidi" w:cstheme="majorBidi"/>
          <w:lang w:eastAsia="en-US"/>
        </w:rPr>
        <w:t xml:space="preserve">, E-M and A. C. </w:t>
      </w:r>
      <w:proofErr w:type="spellStart"/>
      <w:r w:rsidRPr="008A0765">
        <w:rPr>
          <w:rFonts w:asciiTheme="majorBidi" w:hAnsiTheme="majorBidi" w:cstheme="majorBidi"/>
          <w:lang w:eastAsia="en-US"/>
        </w:rPr>
        <w:t>Liefbroer</w:t>
      </w:r>
      <w:proofErr w:type="spellEnd"/>
      <w:r w:rsidRPr="008A0765">
        <w:rPr>
          <w:rFonts w:asciiTheme="majorBidi" w:hAnsiTheme="majorBidi" w:cstheme="majorBidi"/>
          <w:lang w:eastAsia="en-US"/>
        </w:rPr>
        <w:t xml:space="preserve">. The Attitude </w:t>
      </w:r>
      <w:r w:rsidR="00C547FE" w:rsidRPr="008A0765">
        <w:rPr>
          <w:rFonts w:asciiTheme="majorBidi" w:hAnsiTheme="majorBidi" w:cstheme="majorBidi"/>
          <w:lang w:eastAsia="en-US"/>
        </w:rPr>
        <w:t>toward</w:t>
      </w:r>
      <w:r w:rsidRPr="008A0765">
        <w:rPr>
          <w:rFonts w:asciiTheme="majorBidi" w:hAnsiTheme="majorBidi" w:cstheme="majorBidi"/>
          <w:lang w:eastAsia="en-US"/>
        </w:rPr>
        <w:t xml:space="preserve"> Voluntary Childlessness in Europe: Cultural and Institutional Explanations. </w:t>
      </w:r>
      <w:r w:rsidRPr="008A0765">
        <w:rPr>
          <w:rFonts w:asciiTheme="majorBidi" w:hAnsiTheme="majorBidi" w:cstheme="majorBidi"/>
          <w:i/>
          <w:iCs/>
          <w:lang w:eastAsia="en-US"/>
        </w:rPr>
        <w:t xml:space="preserve">Journal of marriage and Family </w:t>
      </w:r>
      <w:r w:rsidRPr="008A0765">
        <w:rPr>
          <w:rFonts w:asciiTheme="majorBidi" w:hAnsiTheme="majorBidi" w:cstheme="majorBidi"/>
          <w:lang w:eastAsia="en-US"/>
        </w:rPr>
        <w:t>74 (June 2012): 587 – 600</w:t>
      </w:r>
    </w:p>
    <w:p w:rsidR="00C11723" w:rsidRDefault="00C11723" w:rsidP="00C11723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lang w:eastAsia="en-US"/>
        </w:rPr>
        <w:t>F</w:t>
      </w:r>
      <w:r w:rsidRPr="00C11723">
        <w:rPr>
          <w:rFonts w:asciiTheme="majorBidi" w:eastAsiaTheme="minorHAnsi" w:hAnsiTheme="majorBidi" w:cstheme="majorBidi"/>
          <w:lang w:eastAsia="en-US"/>
        </w:rPr>
        <w:t xml:space="preserve">urstenberg, </w:t>
      </w:r>
      <w:r>
        <w:rPr>
          <w:rFonts w:asciiTheme="majorBidi" w:eastAsiaTheme="minorHAnsi" w:hAnsiTheme="majorBidi" w:cstheme="majorBidi"/>
          <w:lang w:eastAsia="en-US"/>
        </w:rPr>
        <w:t>F.F</w:t>
      </w:r>
      <w:r w:rsidRPr="00C11723">
        <w:rPr>
          <w:rFonts w:asciiTheme="majorBidi" w:eastAsiaTheme="minorHAnsi" w:hAnsiTheme="majorBidi" w:cstheme="majorBidi"/>
          <w:lang w:eastAsia="en-US"/>
        </w:rPr>
        <w:t xml:space="preserve">, </w:t>
      </w:r>
      <w:r>
        <w:rPr>
          <w:rFonts w:asciiTheme="majorBidi" w:eastAsiaTheme="minorHAnsi" w:hAnsiTheme="majorBidi" w:cstheme="majorBidi"/>
          <w:lang w:eastAsia="en-US"/>
        </w:rPr>
        <w:t>S</w:t>
      </w:r>
      <w:r w:rsidRPr="00C11723">
        <w:rPr>
          <w:rFonts w:asciiTheme="majorBidi" w:eastAsiaTheme="minorHAnsi" w:hAnsiTheme="majorBidi" w:cstheme="majorBidi"/>
          <w:lang w:eastAsia="en-US"/>
        </w:rPr>
        <w:t xml:space="preserve"> </w:t>
      </w:r>
      <w:r>
        <w:rPr>
          <w:rFonts w:asciiTheme="majorBidi" w:eastAsiaTheme="minorHAnsi" w:hAnsiTheme="majorBidi" w:cstheme="majorBidi"/>
          <w:lang w:eastAsia="en-US"/>
        </w:rPr>
        <w:t>K</w:t>
      </w:r>
      <w:r w:rsidRPr="00C11723">
        <w:rPr>
          <w:rFonts w:asciiTheme="majorBidi" w:eastAsiaTheme="minorHAnsi" w:hAnsiTheme="majorBidi" w:cstheme="majorBidi"/>
          <w:lang w:eastAsia="en-US"/>
        </w:rPr>
        <w:t xml:space="preserve">ennedy, </w:t>
      </w:r>
      <w:proofErr w:type="spellStart"/>
      <w:r>
        <w:rPr>
          <w:rFonts w:asciiTheme="majorBidi" w:eastAsiaTheme="minorHAnsi" w:hAnsiTheme="majorBidi" w:cstheme="majorBidi"/>
          <w:lang w:eastAsia="en-US"/>
        </w:rPr>
        <w:t>V.C</w:t>
      </w:r>
      <w:r w:rsidRPr="00C11723">
        <w:rPr>
          <w:rFonts w:asciiTheme="majorBidi" w:eastAsiaTheme="minorHAnsi" w:hAnsiTheme="majorBidi" w:cstheme="majorBidi"/>
          <w:lang w:eastAsia="en-US"/>
        </w:rPr>
        <w:t>.</w:t>
      </w:r>
      <w:r>
        <w:rPr>
          <w:rFonts w:asciiTheme="majorBidi" w:eastAsiaTheme="minorHAnsi" w:hAnsiTheme="majorBidi" w:cstheme="majorBidi"/>
          <w:lang w:eastAsia="en-US"/>
        </w:rPr>
        <w:t>M</w:t>
      </w:r>
      <w:r w:rsidRPr="00C11723">
        <w:rPr>
          <w:rFonts w:asciiTheme="majorBidi" w:eastAsiaTheme="minorHAnsi" w:hAnsiTheme="majorBidi" w:cstheme="majorBidi"/>
          <w:lang w:eastAsia="en-US"/>
        </w:rPr>
        <w:t>mcloyd</w:t>
      </w:r>
      <w:proofErr w:type="spellEnd"/>
      <w:r w:rsidRPr="00C11723">
        <w:rPr>
          <w:rFonts w:asciiTheme="majorBidi" w:eastAsiaTheme="minorHAnsi" w:hAnsiTheme="majorBidi" w:cstheme="majorBidi"/>
          <w:lang w:eastAsia="en-US"/>
        </w:rPr>
        <w:t>,</w:t>
      </w:r>
      <w:r>
        <w:rPr>
          <w:rFonts w:asciiTheme="majorBidi" w:eastAsiaTheme="minorHAnsi" w:hAnsiTheme="majorBidi" w:cstheme="majorBidi"/>
          <w:lang w:eastAsia="en-US"/>
        </w:rPr>
        <w:t xml:space="preserve"> R.</w:t>
      </w:r>
      <w:r w:rsidRPr="00C11723">
        <w:rPr>
          <w:rFonts w:asciiTheme="majorBidi" w:eastAsiaTheme="minorHAnsi" w:hAnsiTheme="majorBidi" w:cstheme="majorBidi"/>
          <w:lang w:eastAsia="en-US"/>
        </w:rPr>
        <w:t xml:space="preserve"> </w:t>
      </w:r>
      <w:r>
        <w:rPr>
          <w:rFonts w:asciiTheme="majorBidi" w:eastAsiaTheme="minorHAnsi" w:hAnsiTheme="majorBidi" w:cstheme="majorBidi"/>
          <w:lang w:eastAsia="en-US"/>
        </w:rPr>
        <w:t>G</w:t>
      </w:r>
      <w:r w:rsidRPr="00C11723">
        <w:rPr>
          <w:rFonts w:asciiTheme="majorBidi" w:eastAsiaTheme="minorHAnsi" w:hAnsiTheme="majorBidi" w:cstheme="majorBidi"/>
          <w:lang w:eastAsia="en-US"/>
        </w:rPr>
        <w:t xml:space="preserve">. </w:t>
      </w:r>
      <w:proofErr w:type="spellStart"/>
      <w:r>
        <w:rPr>
          <w:rFonts w:asciiTheme="majorBidi" w:eastAsiaTheme="minorHAnsi" w:hAnsiTheme="majorBidi" w:cstheme="majorBidi"/>
          <w:lang w:eastAsia="en-US"/>
        </w:rPr>
        <w:t>R</w:t>
      </w:r>
      <w:r w:rsidRPr="00C11723">
        <w:rPr>
          <w:rFonts w:asciiTheme="majorBidi" w:eastAsiaTheme="minorHAnsi" w:hAnsiTheme="majorBidi" w:cstheme="majorBidi"/>
          <w:lang w:eastAsia="en-US"/>
        </w:rPr>
        <w:t>umbaut</w:t>
      </w:r>
      <w:proofErr w:type="spellEnd"/>
      <w:r w:rsidRPr="00C11723">
        <w:rPr>
          <w:rFonts w:asciiTheme="majorBidi" w:eastAsiaTheme="minorHAnsi" w:hAnsiTheme="majorBidi" w:cstheme="majorBidi"/>
          <w:lang w:eastAsia="en-US"/>
        </w:rPr>
        <w:t xml:space="preserve"> and </w:t>
      </w:r>
      <w:r>
        <w:rPr>
          <w:rFonts w:asciiTheme="majorBidi" w:eastAsiaTheme="minorHAnsi" w:hAnsiTheme="majorBidi" w:cstheme="majorBidi"/>
          <w:lang w:eastAsia="en-US"/>
        </w:rPr>
        <w:t>R</w:t>
      </w:r>
      <w:r w:rsidRPr="00C11723">
        <w:rPr>
          <w:rFonts w:asciiTheme="majorBidi" w:eastAsiaTheme="minorHAnsi" w:hAnsiTheme="majorBidi" w:cstheme="majorBidi"/>
          <w:lang w:eastAsia="en-US"/>
        </w:rPr>
        <w:t xml:space="preserve"> </w:t>
      </w:r>
      <w:r>
        <w:rPr>
          <w:rFonts w:asciiTheme="majorBidi" w:eastAsiaTheme="minorHAnsi" w:hAnsiTheme="majorBidi" w:cstheme="majorBidi"/>
          <w:lang w:eastAsia="en-US"/>
        </w:rPr>
        <w:t>A</w:t>
      </w:r>
      <w:r w:rsidRPr="00C11723">
        <w:rPr>
          <w:rFonts w:asciiTheme="majorBidi" w:eastAsiaTheme="minorHAnsi" w:hAnsiTheme="majorBidi" w:cstheme="majorBidi"/>
          <w:lang w:eastAsia="en-US"/>
        </w:rPr>
        <w:t xml:space="preserve">. </w:t>
      </w:r>
      <w:proofErr w:type="spellStart"/>
      <w:r>
        <w:rPr>
          <w:rFonts w:asciiTheme="majorBidi" w:eastAsiaTheme="minorHAnsi" w:hAnsiTheme="majorBidi" w:cstheme="majorBidi"/>
          <w:lang w:eastAsia="en-US"/>
        </w:rPr>
        <w:t>S</w:t>
      </w:r>
      <w:r w:rsidRPr="00C11723">
        <w:rPr>
          <w:rFonts w:asciiTheme="majorBidi" w:eastAsiaTheme="minorHAnsi" w:hAnsiTheme="majorBidi" w:cstheme="majorBidi"/>
          <w:lang w:eastAsia="en-US"/>
        </w:rPr>
        <w:t>ettersten</w:t>
      </w:r>
      <w:proofErr w:type="spellEnd"/>
      <w:r w:rsidRPr="00C11723">
        <w:rPr>
          <w:rFonts w:asciiTheme="majorBidi" w:eastAsiaTheme="minorHAnsi" w:hAnsiTheme="majorBidi" w:cstheme="majorBidi"/>
          <w:lang w:eastAsia="en-US"/>
        </w:rPr>
        <w:t>,</w:t>
      </w:r>
      <w:r w:rsidRPr="00C11723">
        <w:rPr>
          <w:rFonts w:asciiTheme="majorBidi" w:hAnsiTheme="majorBidi" w:cstheme="majorBidi"/>
          <w:lang w:eastAsia="en-US"/>
        </w:rPr>
        <w:t xml:space="preserve"> 2004. </w:t>
      </w:r>
      <w:r>
        <w:rPr>
          <w:rFonts w:asciiTheme="majorBidi" w:eastAsiaTheme="minorHAnsi" w:hAnsiTheme="majorBidi" w:cstheme="majorBidi"/>
          <w:lang w:eastAsia="en-US"/>
        </w:rPr>
        <w:t>G</w:t>
      </w:r>
      <w:r w:rsidRPr="00C11723">
        <w:rPr>
          <w:rFonts w:asciiTheme="majorBidi" w:eastAsiaTheme="minorHAnsi" w:hAnsiTheme="majorBidi" w:cstheme="majorBidi"/>
          <w:lang w:eastAsia="en-US"/>
        </w:rPr>
        <w:t xml:space="preserve">rowing up is harder to do. </w:t>
      </w:r>
      <w:r w:rsidRPr="00C11723">
        <w:rPr>
          <w:rFonts w:asciiTheme="majorBidi" w:eastAsiaTheme="minorHAnsi" w:hAnsiTheme="majorBidi" w:cstheme="majorBidi"/>
          <w:i/>
          <w:iCs/>
          <w:lang w:eastAsia="en-US"/>
        </w:rPr>
        <w:t>Contexts</w:t>
      </w:r>
      <w:r w:rsidRPr="00C11723">
        <w:rPr>
          <w:rFonts w:asciiTheme="majorBidi" w:eastAsiaTheme="minorHAnsi" w:hAnsiTheme="majorBidi" w:cstheme="majorBidi"/>
          <w:lang w:eastAsia="en-US"/>
        </w:rPr>
        <w:t xml:space="preserve"> 33-41</w:t>
      </w:r>
    </w:p>
    <w:p w:rsidR="00C11723" w:rsidRDefault="00C11723" w:rsidP="00C11723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eastAsia="en-US"/>
        </w:rPr>
      </w:pPr>
    </w:p>
    <w:p w:rsidR="000026A5" w:rsidRDefault="00A67001" w:rsidP="003A46A0">
      <w:pPr>
        <w:pStyle w:val="6"/>
        <w:numPr>
          <w:ilvl w:val="0"/>
          <w:numId w:val="4"/>
        </w:numPr>
        <w:bidi/>
        <w:jc w:val="left"/>
        <w:rPr>
          <w:rFonts w:cs="David"/>
          <w:u w:val="none"/>
          <w:rtl/>
          <w:lang w:bidi="he-IL"/>
        </w:rPr>
      </w:pPr>
      <w:r>
        <w:rPr>
          <w:rFonts w:cs="David" w:hint="cs"/>
          <w:u w:val="none"/>
          <w:rtl/>
          <w:lang w:bidi="he-IL"/>
        </w:rPr>
        <w:t>דפוסי הורות</w:t>
      </w:r>
      <w:r w:rsidR="005C1E55">
        <w:rPr>
          <w:rFonts w:cs="David" w:hint="cs"/>
          <w:u w:val="none"/>
          <w:rtl/>
          <w:lang w:bidi="he-IL"/>
        </w:rPr>
        <w:t xml:space="preserve"> (</w:t>
      </w:r>
      <w:r w:rsidR="003A46A0">
        <w:rPr>
          <w:rFonts w:cs="David" w:hint="cs"/>
          <w:u w:val="none"/>
          <w:rtl/>
          <w:lang w:bidi="he-IL"/>
        </w:rPr>
        <w:t>14.4</w:t>
      </w:r>
      <w:r w:rsidR="005C1E55">
        <w:rPr>
          <w:rFonts w:cs="David" w:hint="cs"/>
          <w:u w:val="none"/>
          <w:rtl/>
          <w:lang w:bidi="he-IL"/>
        </w:rPr>
        <w:t>)</w:t>
      </w:r>
    </w:p>
    <w:p w:rsidR="00BB1519" w:rsidRPr="00BB1519" w:rsidRDefault="00BB1519" w:rsidP="00BB1519">
      <w:pPr>
        <w:rPr>
          <w:rtl/>
          <w:lang w:eastAsia="en-US"/>
        </w:rPr>
      </w:pPr>
    </w:p>
    <w:p w:rsidR="000D5BE1" w:rsidRDefault="000D5BE1" w:rsidP="00A83C6A">
      <w:pPr>
        <w:autoSpaceDE w:val="0"/>
        <w:autoSpaceDN w:val="0"/>
        <w:bidi w:val="0"/>
        <w:adjustRightInd w:val="0"/>
        <w:rPr>
          <w:rFonts w:asciiTheme="majorBidi" w:hAnsiTheme="majorBidi" w:cstheme="majorBidi"/>
          <w:lang w:eastAsia="en-US"/>
        </w:rPr>
      </w:pPr>
      <w:proofErr w:type="spellStart"/>
      <w:r w:rsidRPr="00031F86">
        <w:rPr>
          <w:rFonts w:asciiTheme="majorBidi" w:eastAsiaTheme="minorHAnsi" w:hAnsiTheme="majorBidi" w:cstheme="majorBidi"/>
          <w:lang w:eastAsia="en-US"/>
        </w:rPr>
        <w:t>S</w:t>
      </w:r>
      <w:r w:rsidR="00031F86">
        <w:rPr>
          <w:rFonts w:asciiTheme="majorBidi" w:eastAsiaTheme="minorHAnsi" w:hAnsiTheme="majorBidi" w:cstheme="majorBidi"/>
          <w:lang w:eastAsia="en-US"/>
        </w:rPr>
        <w:t>atu</w:t>
      </w:r>
      <w:proofErr w:type="spellEnd"/>
      <w:r w:rsidR="00031F86">
        <w:rPr>
          <w:rFonts w:asciiTheme="majorBidi" w:eastAsiaTheme="minorHAnsi" w:hAnsiTheme="majorBidi" w:cstheme="majorBidi"/>
          <w:lang w:eastAsia="en-US"/>
        </w:rPr>
        <w:t xml:space="preserve"> </w:t>
      </w:r>
      <w:proofErr w:type="spellStart"/>
      <w:r w:rsidR="00031F86">
        <w:rPr>
          <w:rFonts w:asciiTheme="majorBidi" w:eastAsiaTheme="minorHAnsi" w:hAnsiTheme="majorBidi" w:cstheme="majorBidi"/>
          <w:lang w:eastAsia="en-US"/>
        </w:rPr>
        <w:t>P</w:t>
      </w:r>
      <w:r w:rsidR="00031F86" w:rsidRPr="00031F86">
        <w:rPr>
          <w:rFonts w:asciiTheme="majorBidi" w:eastAsiaTheme="minorHAnsi" w:hAnsiTheme="majorBidi" w:cstheme="majorBidi"/>
          <w:lang w:eastAsia="en-US"/>
        </w:rPr>
        <w:t>erala</w:t>
      </w:r>
      <w:proofErr w:type="spellEnd"/>
      <w:r w:rsidRPr="00031F86">
        <w:rPr>
          <w:rFonts w:asciiTheme="majorBidi" w:eastAsiaTheme="minorHAnsi" w:hAnsiTheme="majorBidi" w:cstheme="majorBidi"/>
          <w:lang w:eastAsia="en-US"/>
        </w:rPr>
        <w:t xml:space="preserve"> –</w:t>
      </w:r>
      <w:proofErr w:type="spellStart"/>
      <w:r w:rsidR="00031F86">
        <w:rPr>
          <w:rFonts w:asciiTheme="majorBidi" w:eastAsiaTheme="minorHAnsi" w:hAnsiTheme="majorBidi" w:cstheme="majorBidi"/>
          <w:lang w:eastAsia="en-US"/>
        </w:rPr>
        <w:t>L</w:t>
      </w:r>
      <w:r w:rsidR="00031F86" w:rsidRPr="00031F86">
        <w:rPr>
          <w:rFonts w:asciiTheme="majorBidi" w:eastAsiaTheme="minorHAnsi" w:hAnsiTheme="majorBidi" w:cstheme="majorBidi"/>
          <w:lang w:eastAsia="en-US"/>
        </w:rPr>
        <w:t>ittunen</w:t>
      </w:r>
      <w:proofErr w:type="spellEnd"/>
      <w:r w:rsidRPr="00031F86">
        <w:rPr>
          <w:rFonts w:asciiTheme="majorBidi" w:hAnsiTheme="majorBidi" w:cstheme="majorBidi"/>
          <w:lang w:eastAsia="en-US"/>
        </w:rPr>
        <w:t xml:space="preserve"> 2007. </w:t>
      </w:r>
      <w:r w:rsidR="00031F86" w:rsidRPr="00031F86">
        <w:rPr>
          <w:rFonts w:asciiTheme="majorBidi" w:eastAsiaTheme="minorHAnsi" w:hAnsiTheme="majorBidi" w:cstheme="majorBidi"/>
          <w:lang w:eastAsia="en-US"/>
        </w:rPr>
        <w:t>Gender equality or primacy of the mother?</w:t>
      </w:r>
      <w:r w:rsidRPr="00031F86">
        <w:rPr>
          <w:rFonts w:asciiTheme="majorBidi" w:eastAsiaTheme="minorHAnsi" w:hAnsiTheme="majorBidi" w:cstheme="majorBidi"/>
          <w:lang w:eastAsia="en-US"/>
        </w:rPr>
        <w:t xml:space="preserve"> </w:t>
      </w:r>
      <w:r w:rsidR="00031F86" w:rsidRPr="00031F86">
        <w:rPr>
          <w:rFonts w:asciiTheme="majorBidi" w:eastAsiaTheme="minorHAnsi" w:hAnsiTheme="majorBidi" w:cstheme="majorBidi"/>
          <w:lang w:eastAsia="en-US"/>
        </w:rPr>
        <w:t>Ambivalent descriptions of good parents</w:t>
      </w:r>
      <w:r w:rsidRPr="00031F86">
        <w:rPr>
          <w:rFonts w:asciiTheme="majorBidi" w:eastAsiaTheme="minorHAnsi" w:hAnsiTheme="majorBidi" w:cstheme="majorBidi"/>
          <w:lang w:eastAsia="en-US"/>
        </w:rPr>
        <w:t xml:space="preserve">. </w:t>
      </w:r>
      <w:r w:rsidR="00031F86">
        <w:rPr>
          <w:rFonts w:asciiTheme="majorBidi" w:eastAsiaTheme="minorHAnsi" w:hAnsiTheme="majorBidi" w:cstheme="majorBidi"/>
          <w:i/>
          <w:iCs/>
          <w:lang w:eastAsia="en-US"/>
        </w:rPr>
        <w:t>Journal of M</w:t>
      </w:r>
      <w:r w:rsidRPr="00031F86">
        <w:rPr>
          <w:rFonts w:asciiTheme="majorBidi" w:eastAsiaTheme="minorHAnsi" w:hAnsiTheme="majorBidi" w:cstheme="majorBidi"/>
          <w:i/>
          <w:iCs/>
          <w:lang w:eastAsia="en-US"/>
        </w:rPr>
        <w:t>arriage and</w:t>
      </w:r>
      <w:r w:rsidR="00031F86">
        <w:rPr>
          <w:rFonts w:asciiTheme="majorBidi" w:eastAsiaTheme="minorHAnsi" w:hAnsiTheme="majorBidi" w:cstheme="majorBidi"/>
          <w:i/>
          <w:iCs/>
          <w:lang w:eastAsia="en-US"/>
        </w:rPr>
        <w:t xml:space="preserve"> F</w:t>
      </w:r>
      <w:r w:rsidRPr="00031F86">
        <w:rPr>
          <w:rFonts w:asciiTheme="majorBidi" w:eastAsiaTheme="minorHAnsi" w:hAnsiTheme="majorBidi" w:cstheme="majorBidi"/>
          <w:i/>
          <w:iCs/>
          <w:lang w:eastAsia="en-US"/>
        </w:rPr>
        <w:t>amily</w:t>
      </w:r>
      <w:r w:rsidRPr="00031F86">
        <w:rPr>
          <w:rFonts w:asciiTheme="majorBidi" w:eastAsiaTheme="minorHAnsi" w:hAnsiTheme="majorBidi" w:cstheme="majorBidi"/>
          <w:lang w:eastAsia="en-US"/>
        </w:rPr>
        <w:t xml:space="preserve"> 69: 341–351</w:t>
      </w:r>
    </w:p>
    <w:p w:rsidR="00540755" w:rsidRDefault="00540755" w:rsidP="0005440B">
      <w:pPr>
        <w:autoSpaceDE w:val="0"/>
        <w:autoSpaceDN w:val="0"/>
        <w:adjustRightInd w:val="0"/>
        <w:rPr>
          <w:rFonts w:asciiTheme="majorBidi" w:hAnsiTheme="majorBidi" w:cstheme="majorBidi"/>
          <w:lang w:eastAsia="en-US"/>
        </w:rPr>
      </w:pPr>
    </w:p>
    <w:p w:rsidR="0005440B" w:rsidRDefault="0005440B" w:rsidP="00014DE2">
      <w:pPr>
        <w:rPr>
          <w:rFonts w:cs="David"/>
          <w:rtl/>
        </w:rPr>
      </w:pPr>
    </w:p>
    <w:p w:rsidR="00014DE2" w:rsidRPr="00A67001" w:rsidRDefault="00014DE2" w:rsidP="00014DE2">
      <w:pPr>
        <w:rPr>
          <w:rFonts w:cs="David"/>
          <w:rtl/>
        </w:rPr>
      </w:pPr>
      <w:r w:rsidRPr="00A96C05">
        <w:rPr>
          <w:rFonts w:cs="David" w:hint="cs"/>
          <w:rtl/>
        </w:rPr>
        <w:t>הקר, דפנה. 2008</w:t>
      </w:r>
      <w:r w:rsidRPr="00A96C05">
        <w:rPr>
          <w:rFonts w:cs="David" w:hint="cs"/>
          <w:i/>
          <w:iCs/>
          <w:rtl/>
        </w:rPr>
        <w:t>. הורות במשפט: מאחורי הקלעים של עיצוב הסדרי משמורת וראייה בגירושים</w:t>
      </w:r>
      <w:r w:rsidRPr="00A96C05">
        <w:rPr>
          <w:rFonts w:cs="David" w:hint="cs"/>
          <w:rtl/>
        </w:rPr>
        <w:t>. הוצ' הקיבוץ המאוחד סדרת מגדרים. פרק ראשון "משמורת ומיתוס האמהות" עמ' 28-52;  פרק שני "אבהות: ב</w:t>
      </w:r>
      <w:r w:rsidRPr="00A67001">
        <w:rPr>
          <w:rFonts w:cs="David" w:hint="cs"/>
          <w:rtl/>
        </w:rPr>
        <w:t xml:space="preserve">ין תפקיד התנדבותי לתפקיד מובנה." עמ' 77-104. </w:t>
      </w:r>
    </w:p>
    <w:p w:rsidR="00540755" w:rsidRPr="00A96C05" w:rsidRDefault="00540755" w:rsidP="003A46A0">
      <w:pPr>
        <w:rPr>
          <w:rFonts w:ascii="David" w:hAnsi="David" w:cs="David"/>
          <w:b/>
          <w:bCs/>
          <w:rtl/>
        </w:rPr>
      </w:pPr>
      <w:r w:rsidRPr="00A96C05">
        <w:rPr>
          <w:rFonts w:ascii="David" w:hAnsi="David" w:cs="David"/>
          <w:bCs/>
          <w:rtl/>
        </w:rPr>
        <w:t>שעור</w:t>
      </w:r>
      <w:r w:rsidRPr="00A96C05">
        <w:rPr>
          <w:rFonts w:ascii="David" w:hAnsi="David" w:cs="David" w:hint="cs"/>
          <w:bCs/>
          <w:rtl/>
        </w:rPr>
        <w:t xml:space="preserve"> </w:t>
      </w:r>
      <w:r w:rsidR="00BB1519">
        <w:rPr>
          <w:rFonts w:ascii="David" w:hAnsi="David" w:cs="David" w:hint="cs"/>
          <w:bCs/>
          <w:rtl/>
        </w:rPr>
        <w:t xml:space="preserve"> 9 </w:t>
      </w:r>
      <w:r w:rsidRPr="00A96C05">
        <w:rPr>
          <w:rFonts w:ascii="David" w:hAnsi="David" w:cs="David" w:hint="cs"/>
          <w:bCs/>
          <w:rtl/>
        </w:rPr>
        <w:t>(</w:t>
      </w:r>
      <w:r w:rsidR="003A46A0">
        <w:rPr>
          <w:rFonts w:ascii="David" w:hAnsi="David" w:cs="David" w:hint="cs"/>
          <w:bCs/>
          <w:rtl/>
        </w:rPr>
        <w:t>19.4</w:t>
      </w:r>
      <w:r w:rsidRPr="00A96C05">
        <w:rPr>
          <w:rFonts w:ascii="David" w:hAnsi="David" w:cs="David" w:hint="cs"/>
          <w:bCs/>
          <w:rtl/>
        </w:rPr>
        <w:t>)</w:t>
      </w:r>
      <w:r w:rsidRPr="00A96C05">
        <w:rPr>
          <w:rFonts w:hint="cs"/>
          <w:rtl/>
        </w:rPr>
        <w:t xml:space="preserve"> </w:t>
      </w:r>
      <w:r w:rsidRPr="00A96C05">
        <w:rPr>
          <w:rFonts w:ascii="David" w:hAnsi="David" w:cs="David"/>
          <w:b/>
          <w:bCs/>
          <w:rtl/>
        </w:rPr>
        <w:t>רבגוניות משפחתית</w:t>
      </w:r>
      <w:r w:rsidRPr="00A96C05">
        <w:rPr>
          <w:rFonts w:ascii="David" w:hAnsi="David" w:cs="David" w:hint="cs"/>
          <w:b/>
          <w:bCs/>
          <w:rtl/>
        </w:rPr>
        <w:t xml:space="preserve"> וייצוגיות המשפחה </w:t>
      </w:r>
    </w:p>
    <w:p w:rsidR="00540755" w:rsidRPr="00A96C05" w:rsidRDefault="00540755" w:rsidP="00540755">
      <w:pPr>
        <w:jc w:val="both"/>
        <w:rPr>
          <w:rFonts w:cs="David"/>
          <w:rtl/>
        </w:rPr>
      </w:pPr>
    </w:p>
    <w:p w:rsidR="00540755" w:rsidRDefault="00540755" w:rsidP="00540755">
      <w:pPr>
        <w:bidi w:val="0"/>
        <w:rPr>
          <w:rFonts w:asciiTheme="majorBidi" w:hAnsiTheme="majorBidi" w:cstheme="majorBidi"/>
          <w:lang w:eastAsia="en-US"/>
        </w:rPr>
      </w:pPr>
      <w:proofErr w:type="spellStart"/>
      <w:r w:rsidRPr="00540755">
        <w:rPr>
          <w:rFonts w:ascii="TimesNewRomanPSMT" w:eastAsiaTheme="minorHAnsi" w:hAnsi="TimesNewRomanPSMT" w:cs="TimesNewRomanPSMT"/>
          <w:lang w:eastAsia="en-US"/>
        </w:rPr>
        <w:lastRenderedPageBreak/>
        <w:t>Biblarz</w:t>
      </w:r>
      <w:proofErr w:type="spellEnd"/>
      <w:r w:rsidRPr="00540755">
        <w:rPr>
          <w:rFonts w:ascii="TimesNewRomanPSMT" w:eastAsiaTheme="minorHAnsi" w:hAnsi="TimesNewRomanPSMT" w:cs="TimesNewRomanPSMT"/>
          <w:lang w:eastAsia="en-US"/>
        </w:rPr>
        <w:t xml:space="preserve">, T.J. &amp; J. Stacey. 2010. How Does the Gender of Parents Matter? </w:t>
      </w:r>
      <w:r w:rsidRPr="00540755">
        <w:rPr>
          <w:rFonts w:ascii="TimesNewRomanPSMT" w:eastAsiaTheme="minorHAnsi" w:hAnsi="TimesNewRomanPSMT" w:cs="TimesNewRomanPSMT"/>
          <w:i/>
          <w:iCs/>
          <w:lang w:eastAsia="en-US"/>
        </w:rPr>
        <w:t>Journal of Marriage and Family</w:t>
      </w:r>
      <w:r>
        <w:rPr>
          <w:rFonts w:ascii="TimesNewRomanPSMT" w:eastAsiaTheme="minorHAnsi" w:hAnsi="TimesNewRomanPSMT" w:cs="TimesNewRomanPSMT"/>
          <w:lang w:eastAsia="en-US"/>
        </w:rPr>
        <w:t xml:space="preserve"> 72</w:t>
      </w:r>
      <w:r w:rsidRPr="00540755">
        <w:rPr>
          <w:rFonts w:ascii="TimesNewRomanPSMT" w:eastAsiaTheme="minorHAnsi" w:hAnsi="TimesNewRomanPSMT" w:cs="TimesNewRomanPSMT"/>
          <w:lang w:eastAsia="en-US"/>
        </w:rPr>
        <w:t>: 3 – 22</w:t>
      </w:r>
    </w:p>
    <w:p w:rsidR="00BB1519" w:rsidRDefault="00BB1519" w:rsidP="00BB1519">
      <w:pPr>
        <w:bidi w:val="0"/>
        <w:rPr>
          <w:rFonts w:asciiTheme="majorBidi" w:hAnsiTheme="majorBidi" w:cstheme="majorBidi"/>
          <w:lang w:eastAsia="en-US"/>
        </w:rPr>
      </w:pPr>
    </w:p>
    <w:p w:rsidR="00BB1519" w:rsidRDefault="00BB1519" w:rsidP="00BB1519">
      <w:pPr>
        <w:rPr>
          <w:rFonts w:asciiTheme="majorBidi" w:hAnsiTheme="majorBidi" w:cstheme="majorBidi"/>
          <w:rtl/>
          <w:lang w:eastAsia="en-US"/>
        </w:rPr>
      </w:pPr>
    </w:p>
    <w:p w:rsidR="00E72409" w:rsidRDefault="00E72409" w:rsidP="00E72409">
      <w:pPr>
        <w:pStyle w:val="6"/>
        <w:bidi/>
        <w:jc w:val="left"/>
        <w:rPr>
          <w:rFonts w:asciiTheme="majorBidi" w:hAnsiTheme="majorBidi" w:cstheme="majorBidi"/>
          <w:b w:val="0"/>
          <w:bCs w:val="0"/>
          <w:u w:val="none"/>
          <w:rtl/>
          <w:lang w:bidi="he-IL"/>
        </w:rPr>
      </w:pPr>
    </w:p>
    <w:p w:rsidR="00014DE2" w:rsidRPr="00C547FE" w:rsidRDefault="00014DE2" w:rsidP="00014DE2">
      <w:pPr>
        <w:pStyle w:val="6"/>
        <w:jc w:val="left"/>
        <w:rPr>
          <w:rFonts w:asciiTheme="majorBidi" w:hAnsiTheme="majorBidi" w:cstheme="majorBidi"/>
          <w:u w:val="none"/>
          <w:lang w:bidi="he-IL"/>
        </w:rPr>
      </w:pPr>
      <w:r w:rsidRPr="00C547FE">
        <w:rPr>
          <w:rFonts w:asciiTheme="majorBidi" w:hAnsiTheme="majorBidi" w:cstheme="majorBidi"/>
          <w:b w:val="0"/>
          <w:bCs w:val="0"/>
          <w:u w:val="none"/>
          <w:lang w:bidi="he-IL"/>
        </w:rPr>
        <w:t>Wall, G. 2013. 'Putting family First': Shifting discourses of motherhood and childhood in represent</w:t>
      </w:r>
      <w:r>
        <w:rPr>
          <w:rFonts w:asciiTheme="majorBidi" w:hAnsiTheme="majorBidi" w:cstheme="majorBidi"/>
          <w:b w:val="0"/>
          <w:bCs w:val="0"/>
          <w:u w:val="none"/>
          <w:lang w:bidi="he-IL"/>
        </w:rPr>
        <w:t>a</w:t>
      </w:r>
      <w:r w:rsidRPr="00C547FE">
        <w:rPr>
          <w:rFonts w:asciiTheme="majorBidi" w:hAnsiTheme="majorBidi" w:cstheme="majorBidi"/>
          <w:b w:val="0"/>
          <w:bCs w:val="0"/>
          <w:u w:val="none"/>
          <w:lang w:bidi="he-IL"/>
        </w:rPr>
        <w:t xml:space="preserve">tions of mother's employment and childcare. </w:t>
      </w:r>
      <w:r>
        <w:rPr>
          <w:rFonts w:asciiTheme="majorBidi" w:hAnsiTheme="majorBidi" w:cstheme="majorBidi"/>
          <w:b w:val="0"/>
          <w:bCs w:val="0"/>
          <w:i/>
          <w:iCs/>
          <w:u w:val="none"/>
          <w:lang w:bidi="he-IL"/>
        </w:rPr>
        <w:t>Women'</w:t>
      </w:r>
      <w:r w:rsidRPr="00C547FE">
        <w:rPr>
          <w:rFonts w:asciiTheme="majorBidi" w:hAnsiTheme="majorBidi" w:cstheme="majorBidi"/>
          <w:b w:val="0"/>
          <w:bCs w:val="0"/>
          <w:i/>
          <w:iCs/>
          <w:u w:val="none"/>
          <w:lang w:bidi="he-IL"/>
        </w:rPr>
        <w:t xml:space="preserve">s Studies International Forum, </w:t>
      </w:r>
      <w:r w:rsidRPr="00C547FE">
        <w:rPr>
          <w:rFonts w:asciiTheme="majorBidi" w:hAnsiTheme="majorBidi" w:cstheme="majorBidi"/>
          <w:b w:val="0"/>
          <w:bCs w:val="0"/>
          <w:u w:val="none"/>
          <w:lang w:bidi="he-IL"/>
        </w:rPr>
        <w:t xml:space="preserve">40: 162-171 </w:t>
      </w:r>
      <w:r w:rsidRPr="00C547FE">
        <w:rPr>
          <w:rFonts w:asciiTheme="majorBidi" w:hAnsiTheme="majorBidi" w:cstheme="majorBidi"/>
          <w:u w:val="none"/>
          <w:lang w:bidi="he-IL"/>
        </w:rPr>
        <w:t xml:space="preserve"> </w:t>
      </w:r>
    </w:p>
    <w:p w:rsidR="00BB1519" w:rsidRDefault="00BB1519" w:rsidP="00BB1519">
      <w:pPr>
        <w:autoSpaceDE w:val="0"/>
        <w:autoSpaceDN w:val="0"/>
        <w:bidi w:val="0"/>
        <w:adjustRightInd w:val="0"/>
        <w:rPr>
          <w:rFonts w:asciiTheme="majorBidi" w:eastAsiaTheme="minorHAnsi" w:hAnsiTheme="majorBidi" w:cstheme="majorBidi"/>
          <w:lang w:eastAsia="en-US"/>
        </w:rPr>
      </w:pPr>
    </w:p>
    <w:p w:rsidR="00A83C6A" w:rsidRDefault="00A83C6A" w:rsidP="001B7A05">
      <w:pPr>
        <w:pStyle w:val="6"/>
        <w:bidi/>
        <w:jc w:val="left"/>
        <w:rPr>
          <w:rFonts w:cs="David"/>
          <w:u w:val="none"/>
          <w:rtl/>
          <w:lang w:bidi="he-IL"/>
        </w:rPr>
      </w:pPr>
    </w:p>
    <w:p w:rsidR="00863787" w:rsidRPr="00A96C05" w:rsidRDefault="00863787" w:rsidP="003A46A0">
      <w:pPr>
        <w:pStyle w:val="6"/>
        <w:bidi/>
        <w:jc w:val="left"/>
        <w:rPr>
          <w:rFonts w:cs="David"/>
          <w:u w:val="none"/>
          <w:rtl/>
          <w:lang w:bidi="he-IL"/>
        </w:rPr>
      </w:pPr>
      <w:r w:rsidRPr="00A96C05">
        <w:rPr>
          <w:rFonts w:cs="David"/>
          <w:u w:val="none"/>
          <w:rtl/>
          <w:lang w:bidi="he-IL"/>
        </w:rPr>
        <w:t xml:space="preserve">שעור </w:t>
      </w:r>
      <w:r w:rsidR="001B7A05">
        <w:rPr>
          <w:rFonts w:cs="David" w:hint="cs"/>
          <w:u w:val="none"/>
          <w:rtl/>
          <w:lang w:bidi="he-IL"/>
        </w:rPr>
        <w:t>10</w:t>
      </w:r>
      <w:r w:rsidRPr="00A96C05">
        <w:rPr>
          <w:rFonts w:cs="David" w:hint="cs"/>
          <w:u w:val="none"/>
          <w:rtl/>
          <w:lang w:bidi="he-IL"/>
        </w:rPr>
        <w:t xml:space="preserve"> (</w:t>
      </w:r>
      <w:r w:rsidR="003A46A0">
        <w:rPr>
          <w:rFonts w:cs="David" w:hint="cs"/>
          <w:u w:val="none"/>
          <w:rtl/>
          <w:lang w:bidi="he-IL"/>
        </w:rPr>
        <w:t>19.5</w:t>
      </w:r>
      <w:r w:rsidRPr="00A96C05">
        <w:rPr>
          <w:rFonts w:cs="David" w:hint="cs"/>
          <w:u w:val="none"/>
          <w:rtl/>
          <w:lang w:bidi="he-IL"/>
        </w:rPr>
        <w:t>):</w:t>
      </w:r>
      <w:r w:rsidRPr="00A96C05">
        <w:rPr>
          <w:rFonts w:cs="David"/>
          <w:b w:val="0"/>
          <w:bCs w:val="0"/>
          <w:u w:val="none"/>
          <w:rtl/>
          <w:lang w:bidi="he-IL"/>
        </w:rPr>
        <w:t xml:space="preserve"> </w:t>
      </w:r>
      <w:r w:rsidRPr="00A96C05">
        <w:rPr>
          <w:rFonts w:cs="David"/>
          <w:u w:val="none"/>
          <w:rtl/>
          <w:lang w:bidi="he-IL"/>
        </w:rPr>
        <w:t xml:space="preserve"> משפחה ואי-שוויון</w:t>
      </w:r>
    </w:p>
    <w:p w:rsidR="00863787" w:rsidRPr="00A96C05" w:rsidRDefault="00863787" w:rsidP="00863787">
      <w:pPr>
        <w:tabs>
          <w:tab w:val="left" w:pos="-720"/>
        </w:tabs>
        <w:rPr>
          <w:rFonts w:ascii="David" w:hAnsi="David" w:cs="David"/>
          <w:rtl/>
        </w:rPr>
      </w:pPr>
    </w:p>
    <w:p w:rsidR="00863787" w:rsidRPr="00A96C05" w:rsidRDefault="00863787" w:rsidP="00863787">
      <w:pPr>
        <w:rPr>
          <w:rFonts w:ascii="David" w:hAnsi="David" w:cs="David"/>
          <w:rtl/>
        </w:rPr>
      </w:pPr>
      <w:proofErr w:type="spellStart"/>
      <w:r w:rsidRPr="00A96C05">
        <w:rPr>
          <w:rFonts w:ascii="David" w:hAnsi="David" w:cs="David"/>
          <w:rtl/>
        </w:rPr>
        <w:t>שטייר</w:t>
      </w:r>
      <w:proofErr w:type="spellEnd"/>
      <w:r w:rsidRPr="00A96C05">
        <w:rPr>
          <w:rFonts w:ascii="David" w:hAnsi="David" w:cs="David"/>
          <w:rtl/>
        </w:rPr>
        <w:t xml:space="preserve"> חיה ועליזה לוין. השפעת תעסוקת נשים על עוני בישראל. 2002. </w:t>
      </w:r>
      <w:r w:rsidRPr="00A96C05">
        <w:rPr>
          <w:rFonts w:ascii="David" w:hAnsi="David" w:cs="David"/>
          <w:i/>
          <w:iCs/>
          <w:rtl/>
        </w:rPr>
        <w:t>ביטחון סוציאלי.</w:t>
      </w:r>
      <w:r w:rsidRPr="00A96C05">
        <w:rPr>
          <w:rFonts w:ascii="David" w:hAnsi="David" w:cs="David"/>
          <w:rtl/>
        </w:rPr>
        <w:t xml:space="preserve"> 62 (יוני): 28-48</w:t>
      </w:r>
    </w:p>
    <w:p w:rsidR="00863787" w:rsidRPr="00A96C05" w:rsidRDefault="00863787" w:rsidP="00863787">
      <w:pPr>
        <w:rPr>
          <w:rFonts w:cs="David"/>
          <w:rtl/>
        </w:rPr>
      </w:pPr>
    </w:p>
    <w:p w:rsidR="00863787" w:rsidRPr="00A96C05" w:rsidRDefault="00863787" w:rsidP="00863787">
      <w:pPr>
        <w:rPr>
          <w:rFonts w:ascii="David" w:hAnsi="David" w:cs="David"/>
          <w:b/>
          <w:bCs/>
          <w:rtl/>
        </w:rPr>
      </w:pPr>
    </w:p>
    <w:p w:rsidR="00863787" w:rsidRPr="00A96C05" w:rsidRDefault="00863787" w:rsidP="00863787">
      <w:pPr>
        <w:jc w:val="right"/>
      </w:pPr>
      <w:proofErr w:type="spellStart"/>
      <w:r w:rsidRPr="00A96C05">
        <w:t>McLanahan</w:t>
      </w:r>
      <w:proofErr w:type="spellEnd"/>
      <w:r w:rsidRPr="00A96C05">
        <w:t xml:space="preserve"> Sara. 2004. Diverging Destinies: How Children Are Faring under the Second Demographic Transition. </w:t>
      </w:r>
      <w:r w:rsidRPr="00A96C05">
        <w:rPr>
          <w:i/>
          <w:iCs/>
        </w:rPr>
        <w:t>Demography</w:t>
      </w:r>
      <w:r w:rsidRPr="00A96C05">
        <w:t xml:space="preserve"> 41 (4),: 607-627</w:t>
      </w:r>
    </w:p>
    <w:p w:rsidR="00863787" w:rsidRPr="00A96C05" w:rsidRDefault="00863787" w:rsidP="00863787"/>
    <w:p w:rsidR="00DE10F5" w:rsidRDefault="00DE10F5" w:rsidP="001B7A05">
      <w:pPr>
        <w:rPr>
          <w:rFonts w:cs="David"/>
          <w:b/>
          <w:bCs/>
          <w:rtl/>
        </w:rPr>
      </w:pPr>
    </w:p>
    <w:p w:rsidR="00863787" w:rsidRPr="002856FB" w:rsidRDefault="00863787" w:rsidP="003A46A0">
      <w:pPr>
        <w:rPr>
          <w:rFonts w:cs="David"/>
          <w:b/>
          <w:bCs/>
          <w:rtl/>
        </w:rPr>
      </w:pPr>
      <w:r w:rsidRPr="00A96C05">
        <w:rPr>
          <w:rFonts w:cs="David"/>
          <w:b/>
          <w:bCs/>
          <w:rtl/>
        </w:rPr>
        <w:t xml:space="preserve">שיעור </w:t>
      </w:r>
      <w:r w:rsidRPr="00A96C05">
        <w:rPr>
          <w:rFonts w:cs="David" w:hint="cs"/>
          <w:b/>
          <w:bCs/>
          <w:rtl/>
        </w:rPr>
        <w:t>1</w:t>
      </w:r>
      <w:r w:rsidR="001B7A05">
        <w:rPr>
          <w:rFonts w:cs="David" w:hint="cs"/>
          <w:b/>
          <w:bCs/>
          <w:rtl/>
        </w:rPr>
        <w:t>1</w:t>
      </w:r>
      <w:r w:rsidRPr="00A96C05">
        <w:rPr>
          <w:rFonts w:cs="David" w:hint="cs"/>
          <w:b/>
          <w:bCs/>
          <w:rtl/>
        </w:rPr>
        <w:t xml:space="preserve"> (</w:t>
      </w:r>
      <w:r w:rsidR="003A46A0">
        <w:rPr>
          <w:rFonts w:cs="David" w:hint="cs"/>
          <w:b/>
          <w:bCs/>
          <w:rtl/>
        </w:rPr>
        <w:t>26.5</w:t>
      </w:r>
      <w:r w:rsidRPr="00A96C05">
        <w:rPr>
          <w:rFonts w:cs="David" w:hint="cs"/>
          <w:b/>
          <w:bCs/>
          <w:rtl/>
        </w:rPr>
        <w:t>)</w:t>
      </w:r>
      <w:r w:rsidR="004860F0">
        <w:rPr>
          <w:rFonts w:cs="David" w:hint="cs"/>
          <w:b/>
          <w:bCs/>
          <w:rtl/>
        </w:rPr>
        <w:t xml:space="preserve"> </w:t>
      </w:r>
      <w:r w:rsidRPr="002856FB">
        <w:rPr>
          <w:rFonts w:cs="David"/>
          <w:b/>
          <w:bCs/>
          <w:rtl/>
        </w:rPr>
        <w:t xml:space="preserve">ארגון משק הבית: חלוקת העבודה במשפחה </w:t>
      </w:r>
    </w:p>
    <w:p w:rsidR="00863787" w:rsidRPr="00A96C05" w:rsidRDefault="00863787" w:rsidP="00863787">
      <w:pPr>
        <w:jc w:val="both"/>
        <w:rPr>
          <w:b/>
          <w:bCs/>
        </w:rPr>
      </w:pPr>
    </w:p>
    <w:p w:rsidR="00863787" w:rsidRDefault="00863787" w:rsidP="00863787">
      <w:pPr>
        <w:tabs>
          <w:tab w:val="left" w:pos="-720"/>
        </w:tabs>
        <w:jc w:val="right"/>
      </w:pPr>
      <w:r w:rsidRPr="00A96C05">
        <w:t xml:space="preserve">Lewin-Epstein, Noah, Haya Stier and Michael Braun. 2006. The Division of Household Labor in Germany and Israel." </w:t>
      </w:r>
      <w:r w:rsidRPr="00A96C05">
        <w:rPr>
          <w:i/>
          <w:iCs/>
        </w:rPr>
        <w:t>Journal of Marriage and Family</w:t>
      </w:r>
      <w:r w:rsidRPr="00A96C05">
        <w:t xml:space="preserve"> 68 (December): 1147-1164</w:t>
      </w:r>
    </w:p>
    <w:p w:rsidR="00CB5FA3" w:rsidRDefault="00CB5FA3" w:rsidP="00863787">
      <w:pPr>
        <w:tabs>
          <w:tab w:val="left" w:pos="-720"/>
        </w:tabs>
        <w:jc w:val="right"/>
      </w:pPr>
    </w:p>
    <w:p w:rsidR="00CB5FA3" w:rsidRPr="006824CD" w:rsidRDefault="00CB5FA3" w:rsidP="00CB5FA3">
      <w:pPr>
        <w:autoSpaceDE w:val="0"/>
        <w:autoSpaceDN w:val="0"/>
        <w:adjustRightInd w:val="0"/>
        <w:jc w:val="right"/>
      </w:pPr>
      <w:r w:rsidRPr="006824CD">
        <w:t>Bianchi, Suzanne M.</w:t>
      </w:r>
      <w:r w:rsidRPr="006824CD">
        <w:rPr>
          <w:i/>
          <w:iCs/>
        </w:rPr>
        <w:t xml:space="preserve">, </w:t>
      </w:r>
      <w:r w:rsidRPr="006824CD">
        <w:t xml:space="preserve">Liana C. Sayer, Melissa A. </w:t>
      </w:r>
      <w:proofErr w:type="spellStart"/>
      <w:r w:rsidRPr="006824CD">
        <w:t>Milkie</w:t>
      </w:r>
      <w:proofErr w:type="spellEnd"/>
      <w:r w:rsidRPr="006824CD">
        <w:t xml:space="preserve"> &amp; John P. Robinson. 2012. "</w:t>
      </w:r>
      <w:r>
        <w:t xml:space="preserve">Housework: </w:t>
      </w:r>
      <w:r w:rsidRPr="006824CD">
        <w:t xml:space="preserve">who did, does or will do it, and how much does it matter?" </w:t>
      </w:r>
      <w:r w:rsidRPr="006824CD">
        <w:rPr>
          <w:i/>
          <w:iCs/>
        </w:rPr>
        <w:t>Social Forces</w:t>
      </w:r>
      <w:r w:rsidRPr="006824CD">
        <w:t>, 91(1) 55–63</w:t>
      </w:r>
    </w:p>
    <w:p w:rsidR="00CB5FA3" w:rsidRPr="00A96C05" w:rsidRDefault="00CB5FA3" w:rsidP="00863787">
      <w:pPr>
        <w:tabs>
          <w:tab w:val="left" w:pos="-720"/>
        </w:tabs>
        <w:jc w:val="right"/>
      </w:pPr>
    </w:p>
    <w:p w:rsidR="00863787" w:rsidRPr="00A96C05" w:rsidRDefault="00863787" w:rsidP="00863787">
      <w:pPr>
        <w:pStyle w:val="6"/>
        <w:bidi/>
        <w:jc w:val="right"/>
        <w:rPr>
          <w:rFonts w:cs="David" w:hint="cs"/>
          <w:u w:val="none"/>
          <w:rtl/>
          <w:lang w:bidi="he-IL"/>
        </w:rPr>
      </w:pPr>
    </w:p>
    <w:p w:rsidR="00863787" w:rsidRDefault="00863787" w:rsidP="003A46A0">
      <w:pPr>
        <w:pStyle w:val="6"/>
        <w:bidi/>
        <w:jc w:val="left"/>
        <w:rPr>
          <w:rFonts w:cs="David"/>
          <w:u w:val="none"/>
          <w:rtl/>
          <w:lang w:bidi="he-IL"/>
        </w:rPr>
      </w:pPr>
      <w:r w:rsidRPr="00C13E8E">
        <w:rPr>
          <w:rFonts w:cs="David"/>
          <w:u w:val="none"/>
          <w:rtl/>
          <w:lang w:bidi="he-IL"/>
        </w:rPr>
        <w:t>שעור</w:t>
      </w:r>
      <w:r w:rsidR="00BF6870">
        <w:rPr>
          <w:rFonts w:cs="David" w:hint="cs"/>
          <w:u w:val="none"/>
          <w:rtl/>
          <w:lang w:bidi="he-IL"/>
        </w:rPr>
        <w:t>י</w:t>
      </w:r>
      <w:r w:rsidRPr="00C13E8E">
        <w:rPr>
          <w:rFonts w:cs="David"/>
          <w:u w:val="none"/>
          <w:rtl/>
          <w:lang w:bidi="he-IL"/>
        </w:rPr>
        <w:t xml:space="preserve"> 1</w:t>
      </w:r>
      <w:r w:rsidR="001B7A05" w:rsidRPr="00C13E8E">
        <w:rPr>
          <w:rFonts w:cs="David" w:hint="cs"/>
          <w:u w:val="none"/>
          <w:rtl/>
          <w:lang w:bidi="he-IL"/>
        </w:rPr>
        <w:t>2</w:t>
      </w:r>
      <w:r w:rsidRPr="00C13E8E">
        <w:rPr>
          <w:rFonts w:cs="David" w:hint="cs"/>
          <w:u w:val="none"/>
          <w:rtl/>
          <w:lang w:bidi="he-IL"/>
        </w:rPr>
        <w:t xml:space="preserve"> (</w:t>
      </w:r>
      <w:r w:rsidR="003A46A0">
        <w:rPr>
          <w:rFonts w:cs="David" w:hint="cs"/>
          <w:u w:val="none"/>
          <w:rtl/>
          <w:lang w:bidi="he-IL"/>
        </w:rPr>
        <w:t>2.6</w:t>
      </w:r>
      <w:r w:rsidRPr="00C13E8E">
        <w:rPr>
          <w:rFonts w:cs="David" w:hint="cs"/>
          <w:u w:val="none"/>
          <w:rtl/>
          <w:lang w:bidi="he-IL"/>
        </w:rPr>
        <w:t>)</w:t>
      </w:r>
      <w:r w:rsidRPr="00C13E8E">
        <w:rPr>
          <w:rFonts w:cs="David"/>
          <w:u w:val="none"/>
          <w:rtl/>
          <w:lang w:bidi="he-IL"/>
        </w:rPr>
        <w:t>: עבודה ומשפחה</w:t>
      </w:r>
      <w:r w:rsidRPr="00A96C05">
        <w:rPr>
          <w:rFonts w:cs="David"/>
          <w:u w:val="none"/>
          <w:rtl/>
          <w:lang w:bidi="he-IL"/>
        </w:rPr>
        <w:t xml:space="preserve"> </w:t>
      </w:r>
    </w:p>
    <w:p w:rsidR="00DE2E52" w:rsidRPr="00DE2E52" w:rsidRDefault="00DE2E52" w:rsidP="00DE2E52">
      <w:pPr>
        <w:rPr>
          <w:rtl/>
          <w:lang w:eastAsia="en-US"/>
        </w:rPr>
      </w:pPr>
    </w:p>
    <w:p w:rsidR="00863787" w:rsidRPr="00A96C05" w:rsidRDefault="00863787" w:rsidP="00863787">
      <w:pPr>
        <w:rPr>
          <w:rFonts w:cs="David"/>
          <w:rtl/>
        </w:rPr>
      </w:pPr>
      <w:proofErr w:type="spellStart"/>
      <w:r w:rsidRPr="00A96C05">
        <w:rPr>
          <w:rFonts w:ascii="David" w:hAnsi="David" w:cs="David"/>
          <w:rtl/>
        </w:rPr>
        <w:t>שטייר</w:t>
      </w:r>
      <w:proofErr w:type="spellEnd"/>
      <w:r w:rsidRPr="00A96C05">
        <w:rPr>
          <w:rFonts w:ascii="David" w:hAnsi="David" w:cs="David"/>
          <w:rtl/>
        </w:rPr>
        <w:t xml:space="preserve">, חיה. </w:t>
      </w:r>
      <w:r w:rsidRPr="00A96C05">
        <w:rPr>
          <w:rFonts w:ascii="David" w:hAnsi="David" w:cs="David" w:hint="cs"/>
          <w:rtl/>
        </w:rPr>
        <w:t>2010</w:t>
      </w:r>
      <w:r w:rsidRPr="00A96C05">
        <w:rPr>
          <w:rFonts w:ascii="David" w:hAnsi="David" w:cs="David"/>
          <w:rtl/>
        </w:rPr>
        <w:t xml:space="preserve">. </w:t>
      </w:r>
      <w:r w:rsidRPr="00A96C05">
        <w:t>“</w:t>
      </w:r>
      <w:r w:rsidRPr="00A96C05">
        <w:rPr>
          <w:rFonts w:ascii="David" w:hAnsi="David" w:cs="David" w:hint="cs"/>
          <w:rtl/>
        </w:rPr>
        <w:t>סוף עידן המפרנס היחיד: משפחות עם שני מפרנסים בישראל". עמ' 17-45 בתוך ורדה מילבאואר וליאת קוליק (עורכות). משפחות עובדות: הורים בשוק העבודה בישראל.</w:t>
      </w:r>
      <w:r w:rsidRPr="00A96C05">
        <w:rPr>
          <w:rFonts w:hint="cs"/>
          <w:rtl/>
        </w:rPr>
        <w:t xml:space="preserve">  </w:t>
      </w:r>
      <w:r w:rsidRPr="00A96C05">
        <w:rPr>
          <w:rFonts w:cs="David" w:hint="cs"/>
          <w:rtl/>
        </w:rPr>
        <w:t xml:space="preserve">פלס- חברה הכלכלית בע"מ. </w:t>
      </w:r>
    </w:p>
    <w:p w:rsidR="00863787" w:rsidRPr="00A96C05" w:rsidRDefault="00863787" w:rsidP="00863787">
      <w:pPr>
        <w:jc w:val="right"/>
      </w:pPr>
    </w:p>
    <w:p w:rsidR="00863787" w:rsidRDefault="00863787" w:rsidP="00863787">
      <w:pPr>
        <w:jc w:val="right"/>
      </w:pPr>
      <w:proofErr w:type="spellStart"/>
      <w:r w:rsidRPr="00A96C05">
        <w:t>Nomaguchi</w:t>
      </w:r>
      <w:proofErr w:type="spellEnd"/>
      <w:r w:rsidRPr="00A96C05">
        <w:t xml:space="preserve">, Kei M. 2009. "Change in Work-Family Conflict among Employed Parents between 1977 and 1997." </w:t>
      </w:r>
      <w:r w:rsidRPr="00A96C05">
        <w:rPr>
          <w:i/>
          <w:iCs/>
        </w:rPr>
        <w:t>Journal of Marriage and Family</w:t>
      </w:r>
      <w:r w:rsidRPr="00A96C05">
        <w:t xml:space="preserve"> 71(February): 15-32</w:t>
      </w:r>
    </w:p>
    <w:p w:rsidR="00DE2E52" w:rsidRPr="00A96C05" w:rsidRDefault="00DE2E52" w:rsidP="00863787">
      <w:pPr>
        <w:jc w:val="right"/>
      </w:pPr>
    </w:p>
    <w:p w:rsidR="00C862A5" w:rsidRDefault="00C862A5" w:rsidP="00AB522C">
      <w:pPr>
        <w:rPr>
          <w:rFonts w:cs="David"/>
          <w:rtl/>
        </w:rPr>
      </w:pPr>
    </w:p>
    <w:p w:rsidR="00C862A5" w:rsidRDefault="00C862A5" w:rsidP="00AB522C">
      <w:pPr>
        <w:rPr>
          <w:rFonts w:cs="David"/>
          <w:rtl/>
        </w:rPr>
      </w:pPr>
    </w:p>
    <w:p w:rsidR="00BB1CD0" w:rsidRDefault="00BB1CD0" w:rsidP="00AB522C">
      <w:pPr>
        <w:rPr>
          <w:rFonts w:cs="David"/>
          <w:rtl/>
        </w:rPr>
      </w:pPr>
    </w:p>
    <w:p w:rsidR="00863787" w:rsidRPr="00A96C05" w:rsidRDefault="00863787" w:rsidP="003A46A0">
      <w:pPr>
        <w:pStyle w:val="6"/>
        <w:tabs>
          <w:tab w:val="left" w:pos="720"/>
          <w:tab w:val="left" w:pos="4320"/>
        </w:tabs>
        <w:bidi/>
        <w:spacing w:line="360" w:lineRule="atLeast"/>
        <w:jc w:val="left"/>
        <w:rPr>
          <w:rFonts w:cs="David"/>
          <w:u w:val="none"/>
          <w:rtl/>
          <w:lang w:bidi="he-IL"/>
        </w:rPr>
      </w:pPr>
      <w:r w:rsidRPr="00A96C05">
        <w:rPr>
          <w:rFonts w:cs="David"/>
          <w:u w:val="none"/>
          <w:rtl/>
          <w:lang w:bidi="he-IL"/>
        </w:rPr>
        <w:t xml:space="preserve">שעור </w:t>
      </w:r>
      <w:r w:rsidR="004860F0">
        <w:rPr>
          <w:rFonts w:cs="David" w:hint="cs"/>
          <w:u w:val="none"/>
          <w:rtl/>
          <w:lang w:bidi="he-IL"/>
        </w:rPr>
        <w:t xml:space="preserve">13 </w:t>
      </w:r>
      <w:r w:rsidRPr="00A96C05">
        <w:rPr>
          <w:rFonts w:cs="David" w:hint="cs"/>
          <w:u w:val="none"/>
          <w:rtl/>
          <w:lang w:bidi="he-IL"/>
        </w:rPr>
        <w:t>(</w:t>
      </w:r>
      <w:r w:rsidR="003A46A0">
        <w:rPr>
          <w:rFonts w:cs="David" w:hint="cs"/>
          <w:u w:val="none"/>
          <w:rtl/>
          <w:lang w:bidi="he-IL"/>
        </w:rPr>
        <w:t>9.6</w:t>
      </w:r>
      <w:r w:rsidR="00BC636B">
        <w:rPr>
          <w:rFonts w:cs="David" w:hint="cs"/>
          <w:u w:val="none"/>
          <w:rtl/>
          <w:lang w:bidi="he-IL"/>
        </w:rPr>
        <w:t>)</w:t>
      </w:r>
      <w:r w:rsidRPr="00A96C05">
        <w:rPr>
          <w:rFonts w:cs="David"/>
          <w:u w:val="none"/>
          <w:rtl/>
          <w:lang w:bidi="he-IL"/>
        </w:rPr>
        <w:t>:</w:t>
      </w:r>
      <w:r w:rsidR="004860F0">
        <w:rPr>
          <w:rFonts w:cs="David" w:hint="cs"/>
          <w:u w:val="none"/>
          <w:rtl/>
          <w:lang w:bidi="he-IL"/>
        </w:rPr>
        <w:t xml:space="preserve"> </w:t>
      </w:r>
      <w:r w:rsidRPr="00A96C05">
        <w:rPr>
          <w:rFonts w:cs="David"/>
          <w:u w:val="none"/>
          <w:rtl/>
          <w:lang w:bidi="he-IL"/>
        </w:rPr>
        <w:t>המשפחה והמדינה</w:t>
      </w:r>
    </w:p>
    <w:p w:rsidR="00BB1CD0" w:rsidRDefault="00BB1CD0" w:rsidP="00E912E4">
      <w:pPr>
        <w:rPr>
          <w:rtl/>
          <w:lang w:eastAsia="en-US"/>
        </w:rPr>
      </w:pPr>
    </w:p>
    <w:p w:rsidR="00E912E4" w:rsidRDefault="00E912E4" w:rsidP="00E912E4">
      <w:pPr>
        <w:rPr>
          <w:rtl/>
          <w:lang w:eastAsia="en-US"/>
        </w:rPr>
      </w:pPr>
      <w:r w:rsidRPr="00335ACE">
        <w:rPr>
          <w:rFonts w:hint="cs"/>
          <w:rtl/>
          <w:lang w:eastAsia="en-US"/>
        </w:rPr>
        <w:t xml:space="preserve">הקר, דפנה., (2005). מעבר ל"בתולה הזקנה" ול"סקס והעיר הגדולה": רווקות כאפשרות חשובה לנשים ויחסו של המשפט הישראלי אליה. </w:t>
      </w:r>
      <w:r w:rsidRPr="00335ACE">
        <w:rPr>
          <w:rFonts w:hint="cs"/>
          <w:u w:val="single"/>
          <w:rtl/>
          <w:lang w:eastAsia="en-US"/>
        </w:rPr>
        <w:t>עיוני משפט</w:t>
      </w:r>
      <w:r w:rsidRPr="00335ACE">
        <w:rPr>
          <w:rFonts w:hint="cs"/>
          <w:rtl/>
          <w:lang w:eastAsia="en-US"/>
        </w:rPr>
        <w:t>, כ"ח(3): 903-950.</w:t>
      </w:r>
    </w:p>
    <w:p w:rsidR="00F32DFA" w:rsidRDefault="00F32DFA" w:rsidP="00E912E4">
      <w:pPr>
        <w:rPr>
          <w:rtl/>
          <w:lang w:eastAsia="en-US"/>
        </w:rPr>
      </w:pPr>
    </w:p>
    <w:p w:rsidR="00F32DFA" w:rsidRDefault="00F32DFA" w:rsidP="00F32DFA">
      <w:pPr>
        <w:tabs>
          <w:tab w:val="left" w:pos="720"/>
          <w:tab w:val="left" w:pos="4320"/>
        </w:tabs>
        <w:rPr>
          <w:rFonts w:ascii="David" w:cs="David"/>
          <w:rtl/>
        </w:rPr>
      </w:pPr>
      <w:r w:rsidRPr="00A96C05">
        <w:rPr>
          <w:rFonts w:cs="David" w:hint="cs"/>
          <w:rtl/>
        </w:rPr>
        <w:t xml:space="preserve">טולידנו, א. נ. זוסמן, ר. פריש וד. גוטליב. 2009 </w:t>
      </w:r>
      <w:r w:rsidRPr="00A96C05">
        <w:rPr>
          <w:rFonts w:ascii="David" w:cs="David" w:hint="cs"/>
          <w:rtl/>
        </w:rPr>
        <w:t>השפעת</w:t>
      </w:r>
      <w:r w:rsidRPr="00A96C05">
        <w:rPr>
          <w:rFonts w:ascii="David" w:cs="David"/>
        </w:rPr>
        <w:t xml:space="preserve"> </w:t>
      </w:r>
      <w:r w:rsidRPr="00A96C05">
        <w:rPr>
          <w:rFonts w:ascii="David" w:cs="David" w:hint="cs"/>
          <w:rtl/>
        </w:rPr>
        <w:t>גובה</w:t>
      </w:r>
      <w:r w:rsidRPr="00A96C05">
        <w:rPr>
          <w:rFonts w:ascii="David" w:cs="David"/>
        </w:rPr>
        <w:t xml:space="preserve"> </w:t>
      </w:r>
      <w:r w:rsidRPr="00A96C05">
        <w:rPr>
          <w:rFonts w:ascii="David" w:cs="David" w:hint="cs"/>
          <w:rtl/>
        </w:rPr>
        <w:t>קצבאות</w:t>
      </w:r>
      <w:r w:rsidRPr="00A96C05">
        <w:rPr>
          <w:rFonts w:ascii="David" w:cs="David"/>
        </w:rPr>
        <w:t xml:space="preserve"> </w:t>
      </w:r>
      <w:r w:rsidRPr="00A96C05">
        <w:rPr>
          <w:rFonts w:ascii="David" w:cs="David" w:hint="cs"/>
          <w:rtl/>
        </w:rPr>
        <w:t>הילדים</w:t>
      </w:r>
      <w:r w:rsidRPr="00A96C05">
        <w:rPr>
          <w:rFonts w:ascii="David" w:cs="David"/>
        </w:rPr>
        <w:t xml:space="preserve"> </w:t>
      </w:r>
      <w:r w:rsidRPr="00A96C05">
        <w:rPr>
          <w:rFonts w:ascii="David" w:cs="David" w:hint="cs"/>
          <w:rtl/>
        </w:rPr>
        <w:t>על</w:t>
      </w:r>
      <w:r w:rsidRPr="00A96C05">
        <w:rPr>
          <w:rFonts w:ascii="David" w:cs="David"/>
        </w:rPr>
        <w:t xml:space="preserve"> </w:t>
      </w:r>
      <w:r w:rsidRPr="00A96C05">
        <w:rPr>
          <w:rFonts w:ascii="David" w:cs="David" w:hint="cs"/>
          <w:rtl/>
        </w:rPr>
        <w:t>פריון</w:t>
      </w:r>
      <w:r w:rsidRPr="00A96C05">
        <w:rPr>
          <w:rFonts w:ascii="David" w:cs="David"/>
        </w:rPr>
        <w:t xml:space="preserve"> </w:t>
      </w:r>
      <w:r w:rsidRPr="00A96C05">
        <w:rPr>
          <w:rFonts w:ascii="David" w:cs="David" w:hint="cs"/>
          <w:rtl/>
        </w:rPr>
        <w:t>הילודה. בנק ישראל, סדרת</w:t>
      </w:r>
      <w:r w:rsidRPr="00A96C05">
        <w:rPr>
          <w:rFonts w:ascii="David" w:cs="David"/>
        </w:rPr>
        <w:t xml:space="preserve"> </w:t>
      </w:r>
      <w:r w:rsidRPr="00A96C05">
        <w:rPr>
          <w:rFonts w:ascii="David" w:cs="David" w:hint="cs"/>
          <w:rtl/>
        </w:rPr>
        <w:t>מאמרים</w:t>
      </w:r>
      <w:r w:rsidRPr="00A96C05">
        <w:rPr>
          <w:rFonts w:ascii="David" w:cs="David"/>
        </w:rPr>
        <w:t xml:space="preserve"> </w:t>
      </w:r>
      <w:r w:rsidRPr="00A96C05">
        <w:rPr>
          <w:rFonts w:ascii="David" w:cs="David" w:hint="cs"/>
          <w:rtl/>
        </w:rPr>
        <w:t xml:space="preserve">לדיון </w:t>
      </w:r>
      <w:r w:rsidRPr="00A96C05">
        <w:rPr>
          <w:rFonts w:ascii="David" w:cs="David"/>
        </w:rPr>
        <w:t xml:space="preserve"> 2009.13</w:t>
      </w:r>
      <w:r w:rsidRPr="00A96C05">
        <w:rPr>
          <w:rFonts w:ascii="David" w:cs="David" w:hint="cs"/>
          <w:rtl/>
        </w:rPr>
        <w:t xml:space="preserve"> </w:t>
      </w:r>
      <w:r>
        <w:rPr>
          <w:rFonts w:ascii="David" w:cs="David" w:hint="cs"/>
          <w:rtl/>
        </w:rPr>
        <w:t xml:space="preserve"> </w:t>
      </w:r>
    </w:p>
    <w:p w:rsidR="00F32DFA" w:rsidRDefault="00F32DFA" w:rsidP="00F32DFA">
      <w:pPr>
        <w:tabs>
          <w:tab w:val="left" w:pos="720"/>
          <w:tab w:val="left" w:pos="4320"/>
        </w:tabs>
        <w:rPr>
          <w:rFonts w:ascii="David" w:cs="David" w:hint="cs"/>
          <w:rtl/>
        </w:rPr>
      </w:pPr>
      <w:bookmarkStart w:id="0" w:name="_GoBack"/>
      <w:bookmarkEnd w:id="0"/>
    </w:p>
    <w:sectPr w:rsidR="00F32DFA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CC" w:rsidRDefault="009A0CCC">
      <w:r>
        <w:separator/>
      </w:r>
    </w:p>
  </w:endnote>
  <w:endnote w:type="continuationSeparator" w:id="0">
    <w:p w:rsidR="009A0CCC" w:rsidRDefault="009A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ridien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DD" w:rsidRDefault="00E53CF4" w:rsidP="00362C10">
    <w:pPr>
      <w:pStyle w:val="a5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2A42DD" w:rsidRDefault="009A0CCC" w:rsidP="002A42D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2DD" w:rsidRDefault="00E53CF4" w:rsidP="00362C10">
    <w:pPr>
      <w:pStyle w:val="a5"/>
      <w:framePr w:wrap="around" w:vAnchor="text" w:hAnchor="text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EF367F">
      <w:rPr>
        <w:rStyle w:val="a7"/>
        <w:noProof/>
        <w:rtl/>
      </w:rPr>
      <w:t>1</w:t>
    </w:r>
    <w:r>
      <w:rPr>
        <w:rStyle w:val="a7"/>
        <w:rtl/>
      </w:rPr>
      <w:fldChar w:fldCharType="end"/>
    </w:r>
  </w:p>
  <w:p w:rsidR="002A42DD" w:rsidRDefault="009A0CCC" w:rsidP="002A42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CC" w:rsidRDefault="009A0CCC">
      <w:r>
        <w:separator/>
      </w:r>
    </w:p>
  </w:footnote>
  <w:footnote w:type="continuationSeparator" w:id="0">
    <w:p w:rsidR="009A0CCC" w:rsidRDefault="009A0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5701"/>
    <w:multiLevelType w:val="hybridMultilevel"/>
    <w:tmpl w:val="FF76F038"/>
    <w:lvl w:ilvl="0" w:tplc="698CBF9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37737E"/>
    <w:multiLevelType w:val="hybridMultilevel"/>
    <w:tmpl w:val="5F246344"/>
    <w:lvl w:ilvl="0" w:tplc="0652DCC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14CC4"/>
    <w:multiLevelType w:val="singleLevel"/>
    <w:tmpl w:val="E60E6EB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>
    <w:nsid w:val="48C45C92"/>
    <w:multiLevelType w:val="singleLevel"/>
    <w:tmpl w:val="E60E6EB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87"/>
    <w:rsid w:val="000026A5"/>
    <w:rsid w:val="00014A59"/>
    <w:rsid w:val="00014DE2"/>
    <w:rsid w:val="00031F86"/>
    <w:rsid w:val="0004655C"/>
    <w:rsid w:val="0005440B"/>
    <w:rsid w:val="000C2CE1"/>
    <w:rsid w:val="000D5BE1"/>
    <w:rsid w:val="000E6A1D"/>
    <w:rsid w:val="00102E9D"/>
    <w:rsid w:val="0016165B"/>
    <w:rsid w:val="001B7A05"/>
    <w:rsid w:val="00233E82"/>
    <w:rsid w:val="002465EA"/>
    <w:rsid w:val="002856FB"/>
    <w:rsid w:val="002958D8"/>
    <w:rsid w:val="00297267"/>
    <w:rsid w:val="002A1C15"/>
    <w:rsid w:val="002A72DB"/>
    <w:rsid w:val="002B3C0B"/>
    <w:rsid w:val="002C091F"/>
    <w:rsid w:val="00304E5C"/>
    <w:rsid w:val="0039429A"/>
    <w:rsid w:val="003A46A0"/>
    <w:rsid w:val="003A7033"/>
    <w:rsid w:val="003B29D4"/>
    <w:rsid w:val="003E22A0"/>
    <w:rsid w:val="004260BF"/>
    <w:rsid w:val="004860F0"/>
    <w:rsid w:val="004A4306"/>
    <w:rsid w:val="004B62CD"/>
    <w:rsid w:val="004D0ED6"/>
    <w:rsid w:val="004D2C8F"/>
    <w:rsid w:val="005243B9"/>
    <w:rsid w:val="00540755"/>
    <w:rsid w:val="00553549"/>
    <w:rsid w:val="0059291F"/>
    <w:rsid w:val="00593D92"/>
    <w:rsid w:val="005B4A74"/>
    <w:rsid w:val="005C1E55"/>
    <w:rsid w:val="005E267C"/>
    <w:rsid w:val="00632A9D"/>
    <w:rsid w:val="00695418"/>
    <w:rsid w:val="006B7103"/>
    <w:rsid w:val="006D12A3"/>
    <w:rsid w:val="00721846"/>
    <w:rsid w:val="007A1DF4"/>
    <w:rsid w:val="007B4275"/>
    <w:rsid w:val="007C38C8"/>
    <w:rsid w:val="007D59BA"/>
    <w:rsid w:val="00826D4C"/>
    <w:rsid w:val="00843F0E"/>
    <w:rsid w:val="00846AA3"/>
    <w:rsid w:val="00863787"/>
    <w:rsid w:val="00866788"/>
    <w:rsid w:val="008A0765"/>
    <w:rsid w:val="008B08CA"/>
    <w:rsid w:val="008B32FB"/>
    <w:rsid w:val="008B6087"/>
    <w:rsid w:val="008C4A08"/>
    <w:rsid w:val="008C7F3B"/>
    <w:rsid w:val="0090574E"/>
    <w:rsid w:val="00907E93"/>
    <w:rsid w:val="00922EFC"/>
    <w:rsid w:val="009568E7"/>
    <w:rsid w:val="00962E63"/>
    <w:rsid w:val="00967D0E"/>
    <w:rsid w:val="00997354"/>
    <w:rsid w:val="009A0CCC"/>
    <w:rsid w:val="009A21FC"/>
    <w:rsid w:val="009A5111"/>
    <w:rsid w:val="009B60FD"/>
    <w:rsid w:val="009E1CD0"/>
    <w:rsid w:val="00A06DC7"/>
    <w:rsid w:val="00A36F1B"/>
    <w:rsid w:val="00A53C6A"/>
    <w:rsid w:val="00A67001"/>
    <w:rsid w:val="00A83C6A"/>
    <w:rsid w:val="00AA3508"/>
    <w:rsid w:val="00AB522C"/>
    <w:rsid w:val="00AD280B"/>
    <w:rsid w:val="00AE3186"/>
    <w:rsid w:val="00B058F1"/>
    <w:rsid w:val="00B46F1A"/>
    <w:rsid w:val="00B62792"/>
    <w:rsid w:val="00B62E1C"/>
    <w:rsid w:val="00B700D2"/>
    <w:rsid w:val="00B7221B"/>
    <w:rsid w:val="00B9125C"/>
    <w:rsid w:val="00BB1519"/>
    <w:rsid w:val="00BB1CD0"/>
    <w:rsid w:val="00BC636B"/>
    <w:rsid w:val="00BF2CB6"/>
    <w:rsid w:val="00BF2FD3"/>
    <w:rsid w:val="00BF6870"/>
    <w:rsid w:val="00C026E6"/>
    <w:rsid w:val="00C11723"/>
    <w:rsid w:val="00C13E8E"/>
    <w:rsid w:val="00C33647"/>
    <w:rsid w:val="00C367F1"/>
    <w:rsid w:val="00C547FE"/>
    <w:rsid w:val="00C721BD"/>
    <w:rsid w:val="00C771BB"/>
    <w:rsid w:val="00C8074C"/>
    <w:rsid w:val="00C82827"/>
    <w:rsid w:val="00C862A5"/>
    <w:rsid w:val="00CA3FAC"/>
    <w:rsid w:val="00CB183B"/>
    <w:rsid w:val="00CB5FA3"/>
    <w:rsid w:val="00CF6C3A"/>
    <w:rsid w:val="00CF7A1D"/>
    <w:rsid w:val="00D03A80"/>
    <w:rsid w:val="00D071C2"/>
    <w:rsid w:val="00D34A30"/>
    <w:rsid w:val="00D7360C"/>
    <w:rsid w:val="00D82316"/>
    <w:rsid w:val="00D83D6C"/>
    <w:rsid w:val="00D852AF"/>
    <w:rsid w:val="00DB368F"/>
    <w:rsid w:val="00DB5DC0"/>
    <w:rsid w:val="00DD12A9"/>
    <w:rsid w:val="00DE0178"/>
    <w:rsid w:val="00DE10F5"/>
    <w:rsid w:val="00DE2E52"/>
    <w:rsid w:val="00E53CF4"/>
    <w:rsid w:val="00E72409"/>
    <w:rsid w:val="00E912E4"/>
    <w:rsid w:val="00EB6241"/>
    <w:rsid w:val="00EC2209"/>
    <w:rsid w:val="00EC6529"/>
    <w:rsid w:val="00ED27B9"/>
    <w:rsid w:val="00ED4F27"/>
    <w:rsid w:val="00EF367F"/>
    <w:rsid w:val="00F32DFA"/>
    <w:rsid w:val="00F55406"/>
    <w:rsid w:val="00F7546B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6">
    <w:name w:val="heading 6"/>
    <w:basedOn w:val="a"/>
    <w:next w:val="a"/>
    <w:link w:val="60"/>
    <w:qFormat/>
    <w:rsid w:val="00863787"/>
    <w:pPr>
      <w:keepNext/>
      <w:overflowPunct w:val="0"/>
      <w:autoSpaceDE w:val="0"/>
      <w:autoSpaceDN w:val="0"/>
      <w:bidi w:val="0"/>
      <w:adjustRightInd w:val="0"/>
      <w:jc w:val="both"/>
      <w:textAlignment w:val="baseline"/>
      <w:outlineLvl w:val="5"/>
    </w:pPr>
    <w:rPr>
      <w:rFonts w:ascii="David" w:hAnsi="David"/>
      <w:b/>
      <w:bCs/>
      <w:u w:val="single"/>
      <w:lang w:eastAsia="en-US" w:bidi="ar-SA"/>
    </w:rPr>
  </w:style>
  <w:style w:type="paragraph" w:styleId="7">
    <w:name w:val="heading 7"/>
    <w:basedOn w:val="a"/>
    <w:next w:val="a"/>
    <w:link w:val="70"/>
    <w:qFormat/>
    <w:rsid w:val="00863787"/>
    <w:pPr>
      <w:keepNext/>
      <w:overflowPunct w:val="0"/>
      <w:autoSpaceDE w:val="0"/>
      <w:autoSpaceDN w:val="0"/>
      <w:bidi w:val="0"/>
      <w:adjustRightInd w:val="0"/>
      <w:jc w:val="both"/>
      <w:textAlignment w:val="baseline"/>
      <w:outlineLvl w:val="6"/>
    </w:pPr>
    <w:rPr>
      <w:rFonts w:ascii="David" w:hAnsi="David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כותרת 6 תו"/>
    <w:basedOn w:val="a0"/>
    <w:link w:val="6"/>
    <w:rsid w:val="00863787"/>
    <w:rPr>
      <w:rFonts w:ascii="David" w:eastAsia="Times New Roman" w:hAnsi="David" w:cs="Times New Roman"/>
      <w:b/>
      <w:bCs/>
      <w:sz w:val="24"/>
      <w:szCs w:val="24"/>
      <w:u w:val="single"/>
      <w:lang w:bidi="ar-SA"/>
    </w:rPr>
  </w:style>
  <w:style w:type="character" w:customStyle="1" w:styleId="70">
    <w:name w:val="כותרת 7 תו"/>
    <w:basedOn w:val="a0"/>
    <w:link w:val="7"/>
    <w:rsid w:val="00863787"/>
    <w:rPr>
      <w:rFonts w:ascii="David" w:eastAsia="Times New Roman" w:hAnsi="David" w:cs="Times New Roman"/>
      <w:sz w:val="24"/>
      <w:szCs w:val="24"/>
      <w:lang w:bidi="ar-SA"/>
    </w:rPr>
  </w:style>
  <w:style w:type="paragraph" w:styleId="a3">
    <w:name w:val="Plain Text"/>
    <w:basedOn w:val="a"/>
    <w:link w:val="a4"/>
    <w:rsid w:val="00863787"/>
    <w:rPr>
      <w:rFonts w:ascii="Courier New" w:hAnsi="Courier New" w:cs="Courier New"/>
      <w:sz w:val="20"/>
      <w:szCs w:val="20"/>
    </w:rPr>
  </w:style>
  <w:style w:type="character" w:customStyle="1" w:styleId="a4">
    <w:name w:val="טקסט רגיל תו"/>
    <w:basedOn w:val="a0"/>
    <w:link w:val="a3"/>
    <w:rsid w:val="00863787"/>
    <w:rPr>
      <w:rFonts w:ascii="Courier New" w:eastAsia="Times New Roman" w:hAnsi="Courier New" w:cs="Courier New"/>
      <w:sz w:val="20"/>
      <w:szCs w:val="20"/>
      <w:lang w:eastAsia="he-IL"/>
    </w:rPr>
  </w:style>
  <w:style w:type="character" w:styleId="Hyperlink">
    <w:name w:val="Hyperlink"/>
    <w:rsid w:val="00863787"/>
    <w:rPr>
      <w:color w:val="0000FF"/>
      <w:u w:val="single"/>
    </w:rPr>
  </w:style>
  <w:style w:type="paragraph" w:styleId="a5">
    <w:name w:val="footer"/>
    <w:basedOn w:val="a"/>
    <w:link w:val="a6"/>
    <w:rsid w:val="0086378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863787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7">
    <w:name w:val="page number"/>
    <w:basedOn w:val="a0"/>
    <w:rsid w:val="00863787"/>
  </w:style>
  <w:style w:type="paragraph" w:styleId="a8">
    <w:name w:val="List Paragraph"/>
    <w:basedOn w:val="a"/>
    <w:uiPriority w:val="34"/>
    <w:qFormat/>
    <w:rsid w:val="00285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8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6">
    <w:name w:val="heading 6"/>
    <w:basedOn w:val="a"/>
    <w:next w:val="a"/>
    <w:link w:val="60"/>
    <w:qFormat/>
    <w:rsid w:val="00863787"/>
    <w:pPr>
      <w:keepNext/>
      <w:overflowPunct w:val="0"/>
      <w:autoSpaceDE w:val="0"/>
      <w:autoSpaceDN w:val="0"/>
      <w:bidi w:val="0"/>
      <w:adjustRightInd w:val="0"/>
      <w:jc w:val="both"/>
      <w:textAlignment w:val="baseline"/>
      <w:outlineLvl w:val="5"/>
    </w:pPr>
    <w:rPr>
      <w:rFonts w:ascii="David" w:hAnsi="David"/>
      <w:b/>
      <w:bCs/>
      <w:u w:val="single"/>
      <w:lang w:eastAsia="en-US" w:bidi="ar-SA"/>
    </w:rPr>
  </w:style>
  <w:style w:type="paragraph" w:styleId="7">
    <w:name w:val="heading 7"/>
    <w:basedOn w:val="a"/>
    <w:next w:val="a"/>
    <w:link w:val="70"/>
    <w:qFormat/>
    <w:rsid w:val="00863787"/>
    <w:pPr>
      <w:keepNext/>
      <w:overflowPunct w:val="0"/>
      <w:autoSpaceDE w:val="0"/>
      <w:autoSpaceDN w:val="0"/>
      <w:bidi w:val="0"/>
      <w:adjustRightInd w:val="0"/>
      <w:jc w:val="both"/>
      <w:textAlignment w:val="baseline"/>
      <w:outlineLvl w:val="6"/>
    </w:pPr>
    <w:rPr>
      <w:rFonts w:ascii="David" w:hAnsi="David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כותרת 6 תו"/>
    <w:basedOn w:val="a0"/>
    <w:link w:val="6"/>
    <w:rsid w:val="00863787"/>
    <w:rPr>
      <w:rFonts w:ascii="David" w:eastAsia="Times New Roman" w:hAnsi="David" w:cs="Times New Roman"/>
      <w:b/>
      <w:bCs/>
      <w:sz w:val="24"/>
      <w:szCs w:val="24"/>
      <w:u w:val="single"/>
      <w:lang w:bidi="ar-SA"/>
    </w:rPr>
  </w:style>
  <w:style w:type="character" w:customStyle="1" w:styleId="70">
    <w:name w:val="כותרת 7 תו"/>
    <w:basedOn w:val="a0"/>
    <w:link w:val="7"/>
    <w:rsid w:val="00863787"/>
    <w:rPr>
      <w:rFonts w:ascii="David" w:eastAsia="Times New Roman" w:hAnsi="David" w:cs="Times New Roman"/>
      <w:sz w:val="24"/>
      <w:szCs w:val="24"/>
      <w:lang w:bidi="ar-SA"/>
    </w:rPr>
  </w:style>
  <w:style w:type="paragraph" w:styleId="a3">
    <w:name w:val="Plain Text"/>
    <w:basedOn w:val="a"/>
    <w:link w:val="a4"/>
    <w:rsid w:val="00863787"/>
    <w:rPr>
      <w:rFonts w:ascii="Courier New" w:hAnsi="Courier New" w:cs="Courier New"/>
      <w:sz w:val="20"/>
      <w:szCs w:val="20"/>
    </w:rPr>
  </w:style>
  <w:style w:type="character" w:customStyle="1" w:styleId="a4">
    <w:name w:val="טקסט רגיל תו"/>
    <w:basedOn w:val="a0"/>
    <w:link w:val="a3"/>
    <w:rsid w:val="00863787"/>
    <w:rPr>
      <w:rFonts w:ascii="Courier New" w:eastAsia="Times New Roman" w:hAnsi="Courier New" w:cs="Courier New"/>
      <w:sz w:val="20"/>
      <w:szCs w:val="20"/>
      <w:lang w:eastAsia="he-IL"/>
    </w:rPr>
  </w:style>
  <w:style w:type="character" w:styleId="Hyperlink">
    <w:name w:val="Hyperlink"/>
    <w:rsid w:val="00863787"/>
    <w:rPr>
      <w:color w:val="0000FF"/>
      <w:u w:val="single"/>
    </w:rPr>
  </w:style>
  <w:style w:type="paragraph" w:styleId="a5">
    <w:name w:val="footer"/>
    <w:basedOn w:val="a"/>
    <w:link w:val="a6"/>
    <w:rsid w:val="00863787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863787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7">
    <w:name w:val="page number"/>
    <w:basedOn w:val="a0"/>
    <w:rsid w:val="00863787"/>
  </w:style>
  <w:style w:type="paragraph" w:styleId="a8">
    <w:name w:val="List Paragraph"/>
    <w:basedOn w:val="a"/>
    <w:uiPriority w:val="34"/>
    <w:qFormat/>
    <w:rsid w:val="0028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2016-03-09T07:27:00Z</cp:lastPrinted>
  <dcterms:created xsi:type="dcterms:W3CDTF">2016-03-09T07:29:00Z</dcterms:created>
  <dcterms:modified xsi:type="dcterms:W3CDTF">2016-03-09T07:29:00Z</dcterms:modified>
</cp:coreProperties>
</file>