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D8" w:rsidRDefault="00ED74D8" w:rsidP="00ED74D8">
      <w:pPr>
        <w:bidi w:val="0"/>
        <w:spacing w:after="0" w:line="480" w:lineRule="auto"/>
        <w:rPr>
          <w:rFonts w:asciiTheme="majorBidi" w:hAnsiTheme="majorBidi" w:cstheme="majorBidi"/>
          <w:sz w:val="24"/>
          <w:szCs w:val="24"/>
        </w:rPr>
      </w:pPr>
    </w:p>
    <w:p w:rsidR="007E7A08" w:rsidRDefault="007E7A08" w:rsidP="007E7A08">
      <w:pPr>
        <w:bidi w:val="0"/>
        <w:spacing w:after="0" w:line="480" w:lineRule="auto"/>
        <w:rPr>
          <w:rFonts w:asciiTheme="majorBidi" w:hAnsiTheme="majorBidi" w:cstheme="majorBidi"/>
          <w:sz w:val="24"/>
          <w:szCs w:val="24"/>
        </w:rPr>
      </w:pPr>
    </w:p>
    <w:p w:rsidR="003C1AF5" w:rsidRPr="003C1AF5" w:rsidRDefault="003C1AF5" w:rsidP="003C1AF5">
      <w:pPr>
        <w:spacing w:line="480" w:lineRule="auto"/>
        <w:jc w:val="center"/>
        <w:rPr>
          <w:rFonts w:ascii="Calibri" w:eastAsia="Calibri" w:hAnsi="Calibri" w:cs="David"/>
          <w:b/>
          <w:bCs/>
          <w:sz w:val="28"/>
          <w:szCs w:val="28"/>
          <w:rtl/>
        </w:rPr>
      </w:pPr>
      <w:r w:rsidRPr="003C1AF5">
        <w:rPr>
          <w:rFonts w:ascii="Calibri" w:eastAsia="Calibri" w:hAnsi="Calibri" w:cs="David" w:hint="cs"/>
          <w:b/>
          <w:bCs/>
          <w:sz w:val="28"/>
          <w:szCs w:val="28"/>
          <w:rtl/>
        </w:rPr>
        <w:t>אוניברסיטת תל אביב</w:t>
      </w:r>
    </w:p>
    <w:p w:rsidR="003C1AF5" w:rsidRPr="003C1AF5" w:rsidRDefault="003C1AF5" w:rsidP="003C1AF5">
      <w:pPr>
        <w:spacing w:line="480" w:lineRule="auto"/>
        <w:jc w:val="center"/>
        <w:rPr>
          <w:rFonts w:ascii="Calibri" w:eastAsia="Calibri" w:hAnsi="Calibri" w:cs="David"/>
          <w:b/>
          <w:bCs/>
          <w:sz w:val="28"/>
          <w:szCs w:val="28"/>
          <w:rtl/>
        </w:rPr>
      </w:pPr>
      <w:r w:rsidRPr="003C1AF5">
        <w:rPr>
          <w:rFonts w:ascii="Calibri" w:eastAsia="Calibri" w:hAnsi="Calibri" w:cs="David" w:hint="cs"/>
          <w:b/>
          <w:bCs/>
          <w:sz w:val="28"/>
          <w:szCs w:val="28"/>
          <w:rtl/>
        </w:rPr>
        <w:t>הפקולטה למדעי החברה</w:t>
      </w:r>
    </w:p>
    <w:p w:rsidR="003C1AF5" w:rsidRPr="003C1AF5" w:rsidRDefault="003C1AF5" w:rsidP="003C1AF5">
      <w:pPr>
        <w:spacing w:line="480" w:lineRule="auto"/>
        <w:jc w:val="center"/>
        <w:rPr>
          <w:rFonts w:ascii="Calibri" w:eastAsia="Calibri" w:hAnsi="Calibri" w:cs="David"/>
          <w:b/>
          <w:bCs/>
          <w:sz w:val="28"/>
          <w:szCs w:val="28"/>
          <w:rtl/>
        </w:rPr>
      </w:pPr>
      <w:r w:rsidRPr="003C1AF5">
        <w:rPr>
          <w:rFonts w:ascii="Calibri" w:eastAsia="Calibri" w:hAnsi="Calibri" w:cs="David" w:hint="cs"/>
          <w:b/>
          <w:bCs/>
          <w:sz w:val="28"/>
          <w:szCs w:val="28"/>
          <w:rtl/>
        </w:rPr>
        <w:t>החוג למדעי המדינה</w:t>
      </w:r>
    </w:p>
    <w:p w:rsidR="003C1AF5" w:rsidRPr="003C1AF5" w:rsidRDefault="003C1AF5" w:rsidP="003C1AF5">
      <w:pPr>
        <w:spacing w:line="480" w:lineRule="auto"/>
        <w:rPr>
          <w:rFonts w:ascii="Times New Roman" w:eastAsia="Calibri" w:hAnsi="Times New Roman" w:cs="Times New Roman"/>
          <w:b/>
          <w:bCs/>
          <w:sz w:val="24"/>
          <w:szCs w:val="24"/>
          <w:rtl/>
        </w:rPr>
      </w:pPr>
      <w:r w:rsidRPr="003C1AF5">
        <w:rPr>
          <w:rFonts w:ascii="Times New Roman" w:eastAsia="Calibri" w:hAnsi="Times New Roman" w:cs="Times New Roman"/>
          <w:b/>
          <w:bCs/>
          <w:sz w:val="24"/>
          <w:szCs w:val="24"/>
          <w:rtl/>
        </w:rPr>
        <w:t>שם המרצה: ד"ר אור הוניג</w:t>
      </w:r>
    </w:p>
    <w:p w:rsidR="003C1AF5" w:rsidRPr="003C1AF5" w:rsidRDefault="003C1AF5" w:rsidP="003C1AF5">
      <w:pPr>
        <w:spacing w:line="480" w:lineRule="auto"/>
        <w:rPr>
          <w:rFonts w:ascii="Times New Roman" w:eastAsia="Calibri" w:hAnsi="Times New Roman" w:cs="Times New Roman"/>
          <w:b/>
          <w:bCs/>
          <w:sz w:val="24"/>
          <w:szCs w:val="24"/>
          <w:rtl/>
        </w:rPr>
      </w:pPr>
      <w:r w:rsidRPr="003C1AF5">
        <w:rPr>
          <w:rFonts w:ascii="Times New Roman" w:eastAsia="Calibri" w:hAnsi="Times New Roman" w:cs="Times New Roman"/>
          <w:b/>
          <w:bCs/>
          <w:sz w:val="24"/>
          <w:szCs w:val="24"/>
          <w:rtl/>
        </w:rPr>
        <w:t>שעות קבלה: לפני/אחרי השיעור או בתיאום מראש</w:t>
      </w:r>
    </w:p>
    <w:p w:rsidR="003C1AF5" w:rsidRPr="003C1AF5" w:rsidRDefault="003C1AF5" w:rsidP="003C1AF5">
      <w:pPr>
        <w:spacing w:line="480" w:lineRule="auto"/>
        <w:rPr>
          <w:rFonts w:ascii="Times New Roman" w:eastAsia="Calibri" w:hAnsi="Times New Roman" w:cs="Times New Roman"/>
          <w:b/>
          <w:bCs/>
          <w:sz w:val="24"/>
          <w:szCs w:val="24"/>
        </w:rPr>
      </w:pPr>
      <w:r w:rsidRPr="003C1AF5">
        <w:rPr>
          <w:rFonts w:ascii="Times New Roman" w:eastAsia="Calibri" w:hAnsi="Times New Roman" w:cs="Times New Roman"/>
          <w:b/>
          <w:bCs/>
          <w:sz w:val="24"/>
          <w:szCs w:val="24"/>
          <w:rtl/>
        </w:rPr>
        <w:t xml:space="preserve">דואר אלקטרוני:    </w:t>
      </w:r>
      <w:r w:rsidRPr="003C1AF5">
        <w:rPr>
          <w:rFonts w:ascii="Calibri" w:eastAsia="Calibri" w:hAnsi="Calibri" w:cs="Arial"/>
        </w:rPr>
        <w:fldChar w:fldCharType="begin"/>
      </w:r>
      <w:r w:rsidRPr="003C1AF5">
        <w:rPr>
          <w:rFonts w:ascii="Calibri" w:eastAsia="Calibri" w:hAnsi="Calibri" w:cs="Arial"/>
        </w:rPr>
        <w:instrText xml:space="preserve"> HYPERLINK "mailto:orhonig@post.tau.ac.il" </w:instrText>
      </w:r>
      <w:r w:rsidRPr="003C1AF5">
        <w:rPr>
          <w:rFonts w:ascii="Calibri" w:eastAsia="Calibri" w:hAnsi="Calibri" w:cs="Arial"/>
        </w:rPr>
        <w:fldChar w:fldCharType="separate"/>
      </w:r>
      <w:r w:rsidRPr="003C1AF5">
        <w:rPr>
          <w:rFonts w:ascii="Times New Roman" w:eastAsia="Calibri" w:hAnsi="Times New Roman" w:cs="Times New Roman"/>
          <w:b/>
          <w:bCs/>
          <w:color w:val="0000FF"/>
          <w:sz w:val="24"/>
          <w:szCs w:val="24"/>
          <w:u w:val="single"/>
        </w:rPr>
        <w:t>orhonig@post.tau.ac.il</w:t>
      </w:r>
      <w:r w:rsidRPr="003C1AF5">
        <w:rPr>
          <w:rFonts w:ascii="Times New Roman" w:eastAsia="Calibri" w:hAnsi="Times New Roman" w:cs="Times New Roman"/>
          <w:b/>
          <w:bCs/>
          <w:color w:val="0000FF"/>
          <w:sz w:val="24"/>
          <w:szCs w:val="24"/>
          <w:u w:val="single"/>
        </w:rPr>
        <w:fldChar w:fldCharType="end"/>
      </w:r>
    </w:p>
    <w:p w:rsidR="003C1AF5" w:rsidRPr="003C1AF5" w:rsidRDefault="003C1AF5" w:rsidP="00936802">
      <w:pPr>
        <w:spacing w:line="480" w:lineRule="auto"/>
        <w:jc w:val="center"/>
        <w:rPr>
          <w:rFonts w:ascii="Calibri" w:eastAsia="Calibri" w:hAnsi="Calibri" w:cs="David"/>
          <w:b/>
          <w:bCs/>
          <w:sz w:val="28"/>
          <w:szCs w:val="28"/>
          <w:u w:val="single"/>
          <w:rtl/>
        </w:rPr>
      </w:pPr>
      <w:r w:rsidRPr="003C1AF5">
        <w:rPr>
          <w:rFonts w:ascii="Calibri" w:eastAsia="Calibri" w:hAnsi="Calibri" w:cs="David" w:hint="cs"/>
          <w:b/>
          <w:bCs/>
          <w:sz w:val="28"/>
          <w:szCs w:val="28"/>
          <w:u w:val="single"/>
          <w:rtl/>
        </w:rPr>
        <w:t xml:space="preserve">שם הקורס: </w:t>
      </w:r>
      <w:r w:rsidR="00936802">
        <w:rPr>
          <w:rFonts w:ascii="Calibri" w:eastAsia="Calibri" w:hAnsi="Calibri" w:cs="David" w:hint="cs"/>
          <w:b/>
          <w:bCs/>
          <w:sz w:val="28"/>
          <w:szCs w:val="28"/>
          <w:u w:val="single"/>
          <w:rtl/>
        </w:rPr>
        <w:t>היחסים הבינלאומיים של המזה"ת</w:t>
      </w:r>
    </w:p>
    <w:p w:rsidR="003C1AF5" w:rsidRPr="003C1AF5" w:rsidRDefault="003C1AF5" w:rsidP="00936802">
      <w:pPr>
        <w:spacing w:line="480" w:lineRule="auto"/>
        <w:jc w:val="center"/>
        <w:rPr>
          <w:rFonts w:ascii="Calibri" w:eastAsia="Calibri" w:hAnsi="Calibri" w:cs="David"/>
          <w:b/>
          <w:bCs/>
          <w:sz w:val="24"/>
          <w:szCs w:val="24"/>
          <w:rtl/>
        </w:rPr>
      </w:pPr>
      <w:r w:rsidRPr="003C1AF5">
        <w:rPr>
          <w:rFonts w:ascii="Calibri" w:eastAsia="Calibri" w:hAnsi="Calibri" w:cs="David" w:hint="cs"/>
          <w:b/>
          <w:bCs/>
          <w:sz w:val="24"/>
          <w:szCs w:val="24"/>
          <w:rtl/>
        </w:rPr>
        <w:t xml:space="preserve">סמסטר </w:t>
      </w:r>
      <w:r w:rsidR="00936802">
        <w:rPr>
          <w:rFonts w:ascii="Calibri" w:eastAsia="Calibri" w:hAnsi="Calibri" w:cs="David" w:hint="cs"/>
          <w:b/>
          <w:bCs/>
          <w:sz w:val="24"/>
          <w:szCs w:val="24"/>
          <w:rtl/>
        </w:rPr>
        <w:t>ב</w:t>
      </w:r>
      <w:r w:rsidRPr="003C1AF5">
        <w:rPr>
          <w:rFonts w:ascii="Calibri" w:eastAsia="Calibri" w:hAnsi="Calibri" w:cs="David" w:hint="cs"/>
          <w:b/>
          <w:bCs/>
          <w:sz w:val="24"/>
          <w:szCs w:val="24"/>
          <w:rtl/>
        </w:rPr>
        <w:t xml:space="preserve">', תשע"ג, ימי </w:t>
      </w:r>
      <w:r w:rsidR="00936802">
        <w:rPr>
          <w:rFonts w:ascii="Calibri" w:eastAsia="Calibri" w:hAnsi="Calibri" w:cs="David" w:hint="cs"/>
          <w:b/>
          <w:bCs/>
          <w:sz w:val="24"/>
          <w:szCs w:val="24"/>
          <w:rtl/>
        </w:rPr>
        <w:t>ראשון</w:t>
      </w:r>
      <w:r w:rsidRPr="003C1AF5">
        <w:rPr>
          <w:rFonts w:ascii="Calibri" w:eastAsia="Calibri" w:hAnsi="Calibri" w:cs="David" w:hint="cs"/>
          <w:b/>
          <w:bCs/>
          <w:sz w:val="24"/>
          <w:szCs w:val="24"/>
          <w:rtl/>
        </w:rPr>
        <w:t>, 1</w:t>
      </w:r>
      <w:r w:rsidR="00936802">
        <w:rPr>
          <w:rFonts w:ascii="Calibri" w:eastAsia="Calibri" w:hAnsi="Calibri" w:cs="David" w:hint="cs"/>
          <w:b/>
          <w:bCs/>
          <w:sz w:val="24"/>
          <w:szCs w:val="24"/>
          <w:rtl/>
        </w:rPr>
        <w:t>6</w:t>
      </w:r>
      <w:r w:rsidRPr="003C1AF5">
        <w:rPr>
          <w:rFonts w:ascii="Calibri" w:eastAsia="Calibri" w:hAnsi="Calibri" w:cs="David" w:hint="cs"/>
          <w:b/>
          <w:bCs/>
          <w:sz w:val="24"/>
          <w:szCs w:val="24"/>
          <w:rtl/>
        </w:rPr>
        <w:t>:00-</w:t>
      </w:r>
      <w:r w:rsidR="00936802">
        <w:rPr>
          <w:rFonts w:ascii="Calibri" w:eastAsia="Calibri" w:hAnsi="Calibri" w:cs="David" w:hint="cs"/>
          <w:b/>
          <w:bCs/>
          <w:sz w:val="24"/>
          <w:szCs w:val="24"/>
          <w:rtl/>
        </w:rPr>
        <w:t>13</w:t>
      </w:r>
      <w:r w:rsidRPr="003C1AF5">
        <w:rPr>
          <w:rFonts w:ascii="Calibri" w:eastAsia="Calibri" w:hAnsi="Calibri" w:cs="David" w:hint="cs"/>
          <w:b/>
          <w:bCs/>
          <w:sz w:val="24"/>
          <w:szCs w:val="24"/>
          <w:rtl/>
        </w:rPr>
        <w:t>:</w:t>
      </w:r>
      <w:r w:rsidR="00936802">
        <w:rPr>
          <w:rFonts w:ascii="Calibri" w:eastAsia="Calibri" w:hAnsi="Calibri" w:cs="David" w:hint="cs"/>
          <w:b/>
          <w:bCs/>
          <w:sz w:val="24"/>
          <w:szCs w:val="24"/>
          <w:rtl/>
        </w:rPr>
        <w:t>1</w:t>
      </w:r>
      <w:r w:rsidRPr="003C1AF5">
        <w:rPr>
          <w:rFonts w:ascii="Calibri" w:eastAsia="Calibri" w:hAnsi="Calibri" w:cs="David" w:hint="cs"/>
          <w:b/>
          <w:bCs/>
          <w:sz w:val="24"/>
          <w:szCs w:val="24"/>
          <w:rtl/>
        </w:rPr>
        <w:t xml:space="preserve">5 (נפתלי, </w:t>
      </w:r>
      <w:bookmarkStart w:id="0" w:name="_GoBack"/>
      <w:r w:rsidR="00936802">
        <w:rPr>
          <w:rFonts w:ascii="Calibri" w:eastAsia="Calibri" w:hAnsi="Calibri" w:cs="David" w:hint="cs"/>
          <w:b/>
          <w:bCs/>
          <w:sz w:val="24"/>
          <w:szCs w:val="24"/>
          <w:rtl/>
        </w:rPr>
        <w:t>104</w:t>
      </w:r>
      <w:bookmarkEnd w:id="0"/>
      <w:r w:rsidRPr="003C1AF5">
        <w:rPr>
          <w:rFonts w:ascii="Calibri" w:eastAsia="Calibri" w:hAnsi="Calibri" w:cs="David" w:hint="cs"/>
          <w:b/>
          <w:bCs/>
          <w:sz w:val="24"/>
          <w:szCs w:val="24"/>
          <w:rtl/>
        </w:rPr>
        <w:t>)</w:t>
      </w:r>
    </w:p>
    <w:p w:rsidR="00CD36BF" w:rsidRPr="00CD36BF" w:rsidRDefault="00CD36BF" w:rsidP="00427A35">
      <w:pPr>
        <w:spacing w:after="0" w:line="480" w:lineRule="auto"/>
        <w:rPr>
          <w:rFonts w:ascii="Calibri" w:eastAsia="Calibri" w:hAnsi="Calibri" w:cs="David"/>
          <w:sz w:val="24"/>
          <w:szCs w:val="24"/>
          <w:rtl/>
        </w:rPr>
      </w:pPr>
      <w:r>
        <w:rPr>
          <w:rFonts w:ascii="Calibri" w:eastAsia="Calibri" w:hAnsi="Calibri" w:cs="David" w:hint="cs"/>
          <w:sz w:val="24"/>
          <w:szCs w:val="24"/>
          <w:rtl/>
        </w:rPr>
        <w:t xml:space="preserve">קורס זה יעסוק בפיתוח ידע תיאורטי על בסיס הבנה מעמיקה של ההתפתחויות </w:t>
      </w:r>
      <w:r w:rsidR="005A15CD">
        <w:rPr>
          <w:rFonts w:ascii="Calibri" w:eastAsia="Calibri" w:hAnsi="Calibri" w:cs="David" w:hint="cs"/>
          <w:sz w:val="24"/>
          <w:szCs w:val="24"/>
          <w:rtl/>
        </w:rPr>
        <w:t xml:space="preserve">הפוליטיות באזור המשתרע מהמגרב ועד המפרץ הפרסי. </w:t>
      </w:r>
      <w:r w:rsidRPr="00CD36BF">
        <w:rPr>
          <w:rFonts w:ascii="Times New Roman" w:eastAsia="Calibri" w:hAnsi="Times New Roman" w:cs="David" w:hint="cs"/>
          <w:sz w:val="24"/>
          <w:szCs w:val="24"/>
          <w:rtl/>
        </w:rPr>
        <w:t xml:space="preserve">הקורס לא מצריך היכרות מעמיקה מוקדמת  עם המזרח התיכון ובהחלט פתוח גם לסטודנטים שלא לומדים בחוג להיסטוריה של המזרח התיכון. הקורס ינתח את התפתחות היחסים בין השחקנים השונים באזור הן מזוית תיאורטית והן מזוית היסטורית. אין מדובר בקורס היסטורי גרידא, אף על פי שנעמיק בסוגיות היסטוריות כמו המלחמה הקרה  הערבית, התערבות המעצמות וכולי. כמו כן, חשוב לציין שלא נתמקד רק בסכסוך הישראלי-ערבי, אלא ננסה להבין את המערכת הרגיונלית בכללותה. בעוד שנתקדם כרונולוגית בשיעורים, ננסה כל שבוע לעמוד על הזויות התיאורטיות הרלוונטיות להבנת התקופה הנבחנת. מטרת הקורס איפוא הינה ללמוד לחשוב תיאורטית על ההתפתחות ההיסטורית ולחשוב ביקורתית על התיאוריות ביחב"ל באמצעות המקרים ההיסטוריים. </w:t>
      </w:r>
    </w:p>
    <w:p w:rsidR="00CD36BF" w:rsidRDefault="00CD36BF" w:rsidP="003C1AF5">
      <w:pPr>
        <w:spacing w:after="0" w:line="480" w:lineRule="auto"/>
        <w:rPr>
          <w:rFonts w:ascii="Calibri" w:eastAsia="Calibri" w:hAnsi="Calibri" w:cs="David"/>
          <w:sz w:val="24"/>
          <w:szCs w:val="24"/>
          <w:rtl/>
        </w:rPr>
      </w:pPr>
    </w:p>
    <w:p w:rsidR="00427A35" w:rsidRDefault="003C1AF5" w:rsidP="003C1AF5">
      <w:pPr>
        <w:spacing w:line="480" w:lineRule="auto"/>
        <w:rPr>
          <w:rFonts w:ascii="Arial" w:eastAsia="Calibri" w:hAnsi="Arial" w:cs="David"/>
          <w:sz w:val="24"/>
          <w:szCs w:val="24"/>
          <w:rtl/>
        </w:rPr>
      </w:pPr>
      <w:r w:rsidRPr="003C1AF5">
        <w:rPr>
          <w:rFonts w:ascii="Calibri" w:eastAsia="Calibri" w:hAnsi="Calibri" w:cs="David" w:hint="cs"/>
          <w:b/>
          <w:bCs/>
          <w:sz w:val="24"/>
          <w:szCs w:val="24"/>
          <w:u w:val="single"/>
          <w:rtl/>
        </w:rPr>
        <w:t>אופן ניהול הקורס</w:t>
      </w:r>
      <w:r w:rsidRPr="003C1AF5">
        <w:rPr>
          <w:rFonts w:ascii="Calibri" w:eastAsia="Calibri" w:hAnsi="Calibri" w:cs="David" w:hint="cs"/>
          <w:b/>
          <w:bCs/>
          <w:sz w:val="24"/>
          <w:szCs w:val="24"/>
          <w:rtl/>
        </w:rPr>
        <w:t xml:space="preserve">: </w:t>
      </w:r>
      <w:r w:rsidRPr="003C1AF5">
        <w:rPr>
          <w:rFonts w:ascii="Arial" w:eastAsia="Calibri" w:hAnsi="Arial" w:cs="David" w:hint="cs"/>
          <w:sz w:val="24"/>
          <w:szCs w:val="24"/>
          <w:rtl/>
        </w:rPr>
        <w:t xml:space="preserve">ישנם שבועות בהן חומרי הקריאה הינם יותר רבים מאשר בשבועות אחרים. לכן, יתכן מאוד שייווצר מצב בו חומר של שבוע מסוים יגלוש לשבוע הבא או לחלופין שאבקש מכם לקרוא לא רק את החומר של שבוע הבא אלא גם חלקים מהחומר של השבוע שלאחר מכן. </w:t>
      </w:r>
      <w:r w:rsidRPr="003C1AF5">
        <w:rPr>
          <w:rFonts w:ascii="Arial" w:eastAsia="Calibri" w:hAnsi="Arial" w:cs="David" w:hint="cs"/>
          <w:sz w:val="24"/>
          <w:szCs w:val="24"/>
          <w:rtl/>
        </w:rPr>
        <w:lastRenderedPageBreak/>
        <w:t xml:space="preserve">על כן אם אתם נעדרים מאחד השיעורים, אנא עקבו אחר ההתקדמות של הדיון בכיתה באמצעות אחד מחבריכם. </w:t>
      </w:r>
    </w:p>
    <w:p w:rsidR="003C1AF5" w:rsidRPr="003C1AF5" w:rsidRDefault="00427A35" w:rsidP="00427A35">
      <w:pPr>
        <w:spacing w:line="480" w:lineRule="auto"/>
        <w:rPr>
          <w:rFonts w:ascii="Arial" w:eastAsia="Calibri" w:hAnsi="Arial" w:cs="David"/>
          <w:sz w:val="24"/>
          <w:szCs w:val="24"/>
          <w:rtl/>
        </w:rPr>
      </w:pPr>
      <w:r>
        <w:rPr>
          <w:rFonts w:ascii="Arial" w:eastAsia="Calibri" w:hAnsi="Arial" w:cs="David" w:hint="cs"/>
          <w:sz w:val="24"/>
          <w:szCs w:val="24"/>
          <w:rtl/>
        </w:rPr>
        <w:t>כל שיעור יתחיל בסקירה היסטורית של הע</w:t>
      </w:r>
      <w:r w:rsidR="001C1756">
        <w:rPr>
          <w:rFonts w:ascii="Arial" w:eastAsia="Calibri" w:hAnsi="Arial" w:cs="David" w:hint="cs"/>
          <w:sz w:val="24"/>
          <w:szCs w:val="24"/>
          <w:rtl/>
        </w:rPr>
        <w:t>שור הרלבנטי, תוך ניסיון לעמוד ע</w:t>
      </w:r>
      <w:r>
        <w:rPr>
          <w:rFonts w:ascii="Arial" w:eastAsia="Calibri" w:hAnsi="Arial" w:cs="David" w:hint="cs"/>
          <w:sz w:val="24"/>
          <w:szCs w:val="24"/>
          <w:rtl/>
        </w:rPr>
        <w:t xml:space="preserve">ל האספקטים הייחודיים המהווים כר לדיון תיאורטי. </w:t>
      </w:r>
      <w:r w:rsidR="003C1AF5" w:rsidRPr="003C1AF5">
        <w:rPr>
          <w:rFonts w:ascii="Arial" w:eastAsia="Calibri" w:hAnsi="Arial" w:cs="David" w:hint="cs"/>
          <w:sz w:val="24"/>
          <w:szCs w:val="24"/>
          <w:rtl/>
        </w:rPr>
        <w:t>הרפראטים יתקיימו בחלק השני של הקורס,</w:t>
      </w:r>
      <w:r>
        <w:rPr>
          <w:rFonts w:ascii="Arial" w:eastAsia="Calibri" w:hAnsi="Arial" w:cs="David" w:hint="cs"/>
          <w:sz w:val="24"/>
          <w:szCs w:val="24"/>
          <w:rtl/>
        </w:rPr>
        <w:t xml:space="preserve"> תוך ניסיון ליצור זיקה ביניהן לבין הנושאים המדוברים </w:t>
      </w:r>
      <w:r w:rsidR="003C1AF5" w:rsidRPr="003C1AF5">
        <w:rPr>
          <w:rFonts w:ascii="Arial" w:eastAsia="Calibri" w:hAnsi="Arial" w:cs="David" w:hint="cs"/>
          <w:sz w:val="24"/>
          <w:szCs w:val="24"/>
          <w:rtl/>
        </w:rPr>
        <w:t xml:space="preserve">. </w:t>
      </w:r>
    </w:p>
    <w:p w:rsidR="003C1AF5" w:rsidRPr="003C1AF5" w:rsidRDefault="003C1AF5" w:rsidP="001C1756">
      <w:pPr>
        <w:spacing w:after="0" w:line="480" w:lineRule="auto"/>
        <w:rPr>
          <w:rFonts w:ascii="Arial" w:eastAsia="Calibri" w:hAnsi="Arial" w:cs="David"/>
          <w:sz w:val="24"/>
          <w:szCs w:val="24"/>
          <w:rtl/>
        </w:rPr>
      </w:pPr>
      <w:r w:rsidRPr="003C1AF5">
        <w:rPr>
          <w:rFonts w:ascii="Arial" w:eastAsia="Calibri" w:hAnsi="Arial" w:cs="David" w:hint="cs"/>
          <w:b/>
          <w:bCs/>
          <w:sz w:val="24"/>
          <w:szCs w:val="24"/>
          <w:u w:val="single"/>
          <w:rtl/>
        </w:rPr>
        <w:t>הרכב הציון הסופי</w:t>
      </w:r>
      <w:r w:rsidRPr="003C1AF5">
        <w:rPr>
          <w:rFonts w:ascii="Arial" w:eastAsia="Calibri" w:hAnsi="Arial" w:cs="David" w:hint="cs"/>
          <w:sz w:val="24"/>
          <w:szCs w:val="24"/>
          <w:rtl/>
        </w:rPr>
        <w:t>: השתתפות פעילה בשיעורים (</w:t>
      </w:r>
      <w:r w:rsidR="001C1756">
        <w:rPr>
          <w:rFonts w:ascii="Arial" w:eastAsia="Calibri" w:hAnsi="Arial" w:cs="David" w:hint="cs"/>
          <w:sz w:val="24"/>
          <w:szCs w:val="24"/>
          <w:rtl/>
        </w:rPr>
        <w:t>בעיקר</w:t>
      </w:r>
      <w:r w:rsidRPr="003C1AF5">
        <w:rPr>
          <w:rFonts w:ascii="Arial" w:eastAsia="Calibri" w:hAnsi="Arial" w:cs="David" w:hint="cs"/>
          <w:sz w:val="24"/>
          <w:szCs w:val="24"/>
          <w:rtl/>
        </w:rPr>
        <w:t xml:space="preserve"> </w:t>
      </w:r>
      <w:r w:rsidR="001C1756">
        <w:rPr>
          <w:rFonts w:ascii="Arial" w:eastAsia="Calibri" w:hAnsi="Arial" w:cs="David" w:hint="cs"/>
          <w:sz w:val="24"/>
          <w:szCs w:val="24"/>
          <w:rtl/>
        </w:rPr>
        <w:t>ה</w:t>
      </w:r>
      <w:r w:rsidRPr="003C1AF5">
        <w:rPr>
          <w:rFonts w:ascii="Arial" w:eastAsia="Calibri" w:hAnsi="Arial" w:cs="David" w:hint="cs"/>
          <w:sz w:val="24"/>
          <w:szCs w:val="24"/>
          <w:rtl/>
        </w:rPr>
        <w:t>רפראטים שהינם חובה)</w:t>
      </w:r>
      <w:r w:rsidRPr="003C1AF5">
        <w:rPr>
          <w:rFonts w:ascii="Arial" w:eastAsia="Calibri" w:hAnsi="Arial" w:cs="David"/>
          <w:sz w:val="24"/>
          <w:szCs w:val="24"/>
          <w:rtl/>
        </w:rPr>
        <w:t>–</w:t>
      </w:r>
      <w:r w:rsidRPr="003C1AF5">
        <w:rPr>
          <w:rFonts w:ascii="Arial" w:eastAsia="Calibri" w:hAnsi="Arial" w:cs="David"/>
          <w:sz w:val="24"/>
          <w:szCs w:val="24"/>
        </w:rPr>
        <w:t xml:space="preserve">  </w:t>
      </w:r>
      <w:r w:rsidR="005A15CD">
        <w:rPr>
          <w:rFonts w:ascii="Arial" w:eastAsia="Calibri" w:hAnsi="Arial" w:cs="David" w:hint="cs"/>
          <w:sz w:val="24"/>
          <w:szCs w:val="24"/>
          <w:rtl/>
        </w:rPr>
        <w:t>5</w:t>
      </w:r>
      <w:r w:rsidRPr="003C1AF5">
        <w:rPr>
          <w:rFonts w:ascii="Arial" w:eastAsia="Calibri" w:hAnsi="Arial" w:cs="David" w:hint="cs"/>
          <w:sz w:val="24"/>
          <w:szCs w:val="24"/>
          <w:rtl/>
        </w:rPr>
        <w:t xml:space="preserve">0%; עבודה </w:t>
      </w:r>
      <w:r w:rsidR="005A15CD">
        <w:rPr>
          <w:rFonts w:ascii="Arial" w:eastAsia="Calibri" w:hAnsi="Arial" w:cs="David" w:hint="cs"/>
          <w:sz w:val="24"/>
          <w:szCs w:val="24"/>
          <w:rtl/>
        </w:rPr>
        <w:t>קצרה</w:t>
      </w:r>
      <w:r w:rsidRPr="003C1AF5">
        <w:rPr>
          <w:rFonts w:ascii="Arial" w:eastAsia="Calibri" w:hAnsi="Arial" w:cs="David" w:hint="cs"/>
          <w:sz w:val="24"/>
          <w:szCs w:val="24"/>
          <w:rtl/>
        </w:rPr>
        <w:t xml:space="preserve"> </w:t>
      </w:r>
      <w:r w:rsidRPr="003C1AF5">
        <w:rPr>
          <w:rFonts w:ascii="Arial" w:eastAsia="Calibri" w:hAnsi="Arial" w:cs="David"/>
          <w:sz w:val="24"/>
          <w:szCs w:val="24"/>
          <w:rtl/>
        </w:rPr>
        <w:t>–</w:t>
      </w:r>
      <w:r w:rsidRPr="003C1AF5">
        <w:rPr>
          <w:rFonts w:ascii="Arial" w:eastAsia="Calibri" w:hAnsi="Arial" w:cs="David" w:hint="cs"/>
          <w:sz w:val="24"/>
          <w:szCs w:val="24"/>
          <w:rtl/>
        </w:rPr>
        <w:t xml:space="preserve"> </w:t>
      </w:r>
      <w:r w:rsidR="005A15CD">
        <w:rPr>
          <w:rFonts w:ascii="Arial" w:eastAsia="Calibri" w:hAnsi="Arial" w:cs="David" w:hint="cs"/>
          <w:sz w:val="24"/>
          <w:szCs w:val="24"/>
          <w:rtl/>
        </w:rPr>
        <w:t>5</w:t>
      </w:r>
      <w:r w:rsidRPr="003C1AF5">
        <w:rPr>
          <w:rFonts w:ascii="Arial" w:eastAsia="Calibri" w:hAnsi="Arial" w:cs="David" w:hint="cs"/>
          <w:sz w:val="24"/>
          <w:szCs w:val="24"/>
          <w:rtl/>
        </w:rPr>
        <w:t>0%.</w:t>
      </w:r>
      <w:r w:rsidR="005A15CD">
        <w:rPr>
          <w:rFonts w:ascii="Arial" w:eastAsia="Calibri" w:hAnsi="Arial" w:cs="David" w:hint="cs"/>
          <w:sz w:val="24"/>
          <w:szCs w:val="24"/>
          <w:rtl/>
        </w:rPr>
        <w:t xml:space="preserve"> העבודה </w:t>
      </w:r>
      <w:r w:rsidR="00427A35">
        <w:rPr>
          <w:rFonts w:ascii="Arial" w:eastAsia="Calibri" w:hAnsi="Arial" w:cs="David" w:hint="cs"/>
          <w:sz w:val="24"/>
          <w:szCs w:val="24"/>
          <w:rtl/>
        </w:rPr>
        <w:t xml:space="preserve">יכולה להיות בנושא הרפראט אם כי אין חובה לעשות כן. על העבודה להיות בין 11 ל- 16 עמודים. </w:t>
      </w:r>
    </w:p>
    <w:p w:rsidR="007E7A08" w:rsidRPr="00DC2DC7" w:rsidRDefault="00DC2DC7" w:rsidP="003C1AF5">
      <w:pPr>
        <w:spacing w:after="0" w:line="480" w:lineRule="auto"/>
        <w:rPr>
          <w:rFonts w:ascii="Arial" w:eastAsia="Calibri" w:hAnsi="Arial" w:cs="David"/>
          <w:sz w:val="24"/>
          <w:szCs w:val="24"/>
        </w:rPr>
      </w:pPr>
      <w:r w:rsidRPr="00DC2DC7">
        <w:rPr>
          <w:rFonts w:ascii="Arial" w:eastAsia="Calibri" w:hAnsi="Arial" w:cs="David" w:hint="cs"/>
          <w:b/>
          <w:bCs/>
          <w:sz w:val="24"/>
          <w:szCs w:val="24"/>
          <w:u w:val="single"/>
          <w:rtl/>
        </w:rPr>
        <w:t>מקורות אינטרנטיים אפשריים לשימוש</w:t>
      </w:r>
      <w:r w:rsidRPr="00DC2DC7">
        <w:rPr>
          <w:rFonts w:ascii="Arial" w:eastAsia="Calibri" w:hAnsi="Arial" w:cs="David" w:hint="cs"/>
          <w:sz w:val="24"/>
          <w:szCs w:val="24"/>
          <w:rtl/>
        </w:rPr>
        <w:t xml:space="preserve">: </w:t>
      </w:r>
      <w:r w:rsidRPr="00DC2DC7">
        <w:rPr>
          <w:rFonts w:ascii="Arial" w:eastAsia="Calibri" w:hAnsi="Arial" w:cs="David"/>
          <w:sz w:val="24"/>
          <w:szCs w:val="24"/>
        </w:rPr>
        <w:t>, Middle East Report, al-monitor, Middle East Forum</w:t>
      </w:r>
      <w:r w:rsidRPr="00DC2DC7">
        <w:rPr>
          <w:rFonts w:ascii="Arial" w:eastAsia="Calibri" w:hAnsi="Arial" w:cs="David" w:hint="cs"/>
          <w:sz w:val="24"/>
          <w:szCs w:val="24"/>
          <w:rtl/>
        </w:rPr>
        <w:t xml:space="preserve"> וזאת בנוסף לבלוגים הכללים יותר של יחב"ל כמו </w:t>
      </w:r>
      <w:r w:rsidRPr="00DC2DC7">
        <w:rPr>
          <w:rFonts w:ascii="Arial" w:eastAsia="Calibri" w:hAnsi="Arial" w:cs="David"/>
          <w:sz w:val="24"/>
          <w:szCs w:val="24"/>
        </w:rPr>
        <w:t>National Interest</w:t>
      </w:r>
    </w:p>
    <w:p w:rsidR="00427A35" w:rsidRDefault="008C108D" w:rsidP="003C1AF5">
      <w:pPr>
        <w:spacing w:after="0" w:line="480" w:lineRule="auto"/>
        <w:rPr>
          <w:rFonts w:ascii="Arial" w:eastAsia="Calibri" w:hAnsi="Arial" w:cs="David"/>
          <w:sz w:val="24"/>
          <w:szCs w:val="24"/>
          <w:rtl/>
        </w:rPr>
      </w:pPr>
      <w:r>
        <w:rPr>
          <w:rFonts w:ascii="Arial" w:eastAsia="Calibri" w:hAnsi="Arial" w:cs="David" w:hint="cs"/>
          <w:sz w:val="24"/>
          <w:szCs w:val="24"/>
          <w:rtl/>
        </w:rPr>
        <w:t>כמו כן מומלץ מאוד להשתמש בסקירות של האוניברסיטה הפתוחה לגבי המדינות השונות</w:t>
      </w:r>
    </w:p>
    <w:p w:rsidR="008C108D" w:rsidRPr="00DC2DC7" w:rsidRDefault="008C108D" w:rsidP="003C1AF5">
      <w:pPr>
        <w:spacing w:after="0" w:line="480" w:lineRule="auto"/>
        <w:rPr>
          <w:rFonts w:ascii="Arial" w:eastAsia="Calibri" w:hAnsi="Arial" w:cs="David"/>
          <w:sz w:val="24"/>
          <w:szCs w:val="24"/>
          <w:rtl/>
        </w:rPr>
      </w:pPr>
    </w:p>
    <w:p w:rsidR="00427A35" w:rsidRPr="00DC2DC7" w:rsidRDefault="00DC2DC7" w:rsidP="001C1756">
      <w:pPr>
        <w:pStyle w:val="ListParagraph"/>
        <w:numPr>
          <w:ilvl w:val="0"/>
          <w:numId w:val="1"/>
        </w:numPr>
        <w:spacing w:after="0" w:line="480" w:lineRule="auto"/>
        <w:rPr>
          <w:rFonts w:asciiTheme="majorBidi" w:hAnsiTheme="majorBidi" w:cstheme="majorBidi"/>
          <w:sz w:val="24"/>
          <w:szCs w:val="24"/>
          <w:rtl/>
        </w:rPr>
      </w:pPr>
      <w:r>
        <w:rPr>
          <w:rFonts w:asciiTheme="majorBidi" w:hAnsiTheme="majorBidi" w:cstheme="majorBidi" w:hint="cs"/>
          <w:sz w:val="24"/>
          <w:szCs w:val="24"/>
          <w:rtl/>
        </w:rPr>
        <w:t>קריסת האימפריה העותמנית והיווצרות הגבולות</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sz w:val="24"/>
          <w:szCs w:val="24"/>
        </w:rPr>
        <w:t xml:space="preserve">* Fred Lawson, </w:t>
      </w:r>
      <w:r w:rsidRPr="0032072F">
        <w:rPr>
          <w:rFonts w:ascii="Times New Roman" w:eastAsia="Calibri" w:hAnsi="Times New Roman" w:cs="Times New Roman"/>
          <w:i/>
          <w:iCs/>
          <w:sz w:val="24"/>
          <w:szCs w:val="24"/>
        </w:rPr>
        <w:t>Constructing International Relations in the Arab World</w:t>
      </w:r>
      <w:r w:rsidRPr="0032072F">
        <w:rPr>
          <w:rFonts w:ascii="Times New Roman" w:eastAsia="Calibri" w:hAnsi="Times New Roman" w:cs="Times New Roman"/>
          <w:sz w:val="24"/>
          <w:szCs w:val="24"/>
        </w:rPr>
        <w:t xml:space="preserve"> (Palo Alto, Calif.: Stanford University Press, 2006), </w:t>
      </w:r>
      <w:proofErr w:type="spellStart"/>
      <w:r w:rsidRPr="0032072F">
        <w:rPr>
          <w:rFonts w:ascii="Times New Roman" w:eastAsia="Calibri" w:hAnsi="Times New Roman" w:cs="Times New Roman"/>
          <w:sz w:val="24"/>
          <w:szCs w:val="24"/>
        </w:rPr>
        <w:t>ch.</w:t>
      </w:r>
      <w:proofErr w:type="spellEnd"/>
      <w:r w:rsidRPr="0032072F">
        <w:rPr>
          <w:rFonts w:ascii="Times New Roman" w:eastAsia="Calibri" w:hAnsi="Times New Roman" w:cs="Times New Roman"/>
          <w:sz w:val="24"/>
          <w:szCs w:val="24"/>
        </w:rPr>
        <w:t xml:space="preserve"> 1</w:t>
      </w:r>
      <w:proofErr w:type="gramStart"/>
      <w:r w:rsidRPr="0032072F">
        <w:rPr>
          <w:rFonts w:ascii="Times New Roman" w:eastAsia="Calibri" w:hAnsi="Times New Roman" w:cs="Times New Roman"/>
          <w:sz w:val="24"/>
          <w:szCs w:val="24"/>
        </w:rPr>
        <w:t>,2</w:t>
      </w:r>
      <w:proofErr w:type="gramEnd"/>
      <w:r w:rsidRPr="0032072F">
        <w:rPr>
          <w:rFonts w:ascii="Times New Roman" w:eastAsia="Calibri" w:hAnsi="Times New Roman" w:cs="Times New Roman"/>
          <w:sz w:val="24"/>
          <w:szCs w:val="24"/>
        </w:rPr>
        <w:t xml:space="preserve">, 4 and conclusion. </w:t>
      </w:r>
    </w:p>
    <w:p w:rsidR="0032072F" w:rsidRPr="0032072F" w:rsidRDefault="0032072F" w:rsidP="0032072F">
      <w:pPr>
        <w:bidi w:val="0"/>
        <w:spacing w:after="0" w:line="480" w:lineRule="auto"/>
        <w:rPr>
          <w:rFonts w:ascii="Times New Roman" w:eastAsia="Calibri" w:hAnsi="Times New Roman" w:cs="Times New Roman"/>
          <w:i/>
          <w:iCs/>
          <w:sz w:val="24"/>
          <w:szCs w:val="24"/>
        </w:rPr>
      </w:pPr>
      <w:r w:rsidRPr="0032072F">
        <w:rPr>
          <w:rFonts w:ascii="Times New Roman" w:eastAsia="Calibri" w:hAnsi="Times New Roman" w:cs="Times New Roman"/>
          <w:sz w:val="24"/>
          <w:szCs w:val="24"/>
        </w:rPr>
        <w:t xml:space="preserve">* Roger Owen, </w:t>
      </w:r>
      <w:r w:rsidRPr="0032072F">
        <w:rPr>
          <w:rFonts w:ascii="Times New Roman" w:eastAsia="Calibri" w:hAnsi="Times New Roman" w:cs="Times New Roman"/>
          <w:i/>
          <w:iCs/>
          <w:sz w:val="24"/>
          <w:szCs w:val="24"/>
        </w:rPr>
        <w:t>State, Power and Politics in the Making of the Modern Middle East, 3rd</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i/>
          <w:iCs/>
          <w:sz w:val="24"/>
          <w:szCs w:val="24"/>
        </w:rPr>
        <w:t>Edition</w:t>
      </w:r>
      <w:r w:rsidRPr="0032072F">
        <w:rPr>
          <w:rFonts w:ascii="Times New Roman" w:eastAsia="Calibri" w:hAnsi="Times New Roman" w:cs="Times New Roman"/>
          <w:sz w:val="24"/>
          <w:szCs w:val="24"/>
        </w:rPr>
        <w:t xml:space="preserve"> (</w:t>
      </w:r>
      <w:smartTag w:uri="urn:schemas-microsoft-com:office:smarttags" w:element="State">
        <w:smartTag w:uri="urn:schemas-microsoft-com:office:smarttags" w:element="place">
          <w:r w:rsidRPr="0032072F">
            <w:rPr>
              <w:rFonts w:ascii="Times New Roman" w:eastAsia="Calibri" w:hAnsi="Times New Roman" w:cs="Times New Roman"/>
              <w:sz w:val="24"/>
              <w:szCs w:val="24"/>
            </w:rPr>
            <w:t>New York</w:t>
          </w:r>
        </w:smartTag>
      </w:smartTag>
      <w:r w:rsidRPr="0032072F">
        <w:rPr>
          <w:rFonts w:ascii="Times New Roman" w:eastAsia="Calibri" w:hAnsi="Times New Roman" w:cs="Times New Roman"/>
          <w:sz w:val="24"/>
          <w:szCs w:val="24"/>
        </w:rPr>
        <w:t>: Routledge, 2004), pp. 5-22 (chap 1).</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sz w:val="24"/>
          <w:szCs w:val="24"/>
        </w:rPr>
        <w:t>Additional readings:</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sz w:val="24"/>
          <w:szCs w:val="24"/>
        </w:rPr>
        <w:t xml:space="preserve">* Ian S. </w:t>
      </w:r>
      <w:proofErr w:type="spellStart"/>
      <w:r w:rsidRPr="0032072F">
        <w:rPr>
          <w:rFonts w:ascii="Times New Roman" w:eastAsia="Calibri" w:hAnsi="Times New Roman" w:cs="Times New Roman"/>
          <w:sz w:val="24"/>
          <w:szCs w:val="24"/>
        </w:rPr>
        <w:t>Lustick</w:t>
      </w:r>
      <w:proofErr w:type="spellEnd"/>
      <w:r w:rsidRPr="0032072F">
        <w:rPr>
          <w:rFonts w:ascii="Times New Roman" w:eastAsia="Calibri" w:hAnsi="Times New Roman" w:cs="Times New Roman"/>
          <w:sz w:val="24"/>
          <w:szCs w:val="24"/>
        </w:rPr>
        <w:t xml:space="preserve">. “The Absence of Middle Eastern Great Powers: Political ‘Backwardness’ in Historical Perspective,” </w:t>
      </w:r>
      <w:r w:rsidRPr="0032072F">
        <w:rPr>
          <w:rFonts w:ascii="Times New Roman" w:eastAsia="Calibri" w:hAnsi="Times New Roman" w:cs="Times New Roman"/>
          <w:i/>
          <w:iCs/>
          <w:sz w:val="24"/>
          <w:szCs w:val="24"/>
        </w:rPr>
        <w:t>International Organization</w:t>
      </w:r>
      <w:r w:rsidRPr="0032072F">
        <w:rPr>
          <w:rFonts w:ascii="Times New Roman" w:eastAsia="Calibri" w:hAnsi="Times New Roman" w:cs="Times New Roman"/>
          <w:sz w:val="24"/>
          <w:szCs w:val="24"/>
        </w:rPr>
        <w:t xml:space="preserve">, vol. 51 (1997), pp. 653-683. </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sz w:val="24"/>
          <w:szCs w:val="24"/>
        </w:rPr>
        <w:t xml:space="preserve">* David </w:t>
      </w:r>
      <w:proofErr w:type="spellStart"/>
      <w:r w:rsidRPr="0032072F">
        <w:rPr>
          <w:rFonts w:ascii="Times New Roman" w:eastAsia="Calibri" w:hAnsi="Times New Roman" w:cs="Times New Roman"/>
          <w:sz w:val="24"/>
          <w:szCs w:val="24"/>
        </w:rPr>
        <w:t>Fromkin</w:t>
      </w:r>
      <w:proofErr w:type="spellEnd"/>
      <w:r w:rsidRPr="0032072F">
        <w:rPr>
          <w:rFonts w:ascii="Times New Roman" w:eastAsia="Calibri" w:hAnsi="Times New Roman" w:cs="Times New Roman"/>
          <w:sz w:val="24"/>
          <w:szCs w:val="24"/>
        </w:rPr>
        <w:t xml:space="preserve">, </w:t>
      </w:r>
      <w:proofErr w:type="gramStart"/>
      <w:r w:rsidRPr="0032072F">
        <w:rPr>
          <w:rFonts w:ascii="Times New Roman" w:eastAsia="Calibri" w:hAnsi="Times New Roman" w:cs="Times New Roman"/>
          <w:i/>
          <w:iCs/>
          <w:sz w:val="24"/>
          <w:szCs w:val="24"/>
        </w:rPr>
        <w:t>A</w:t>
      </w:r>
      <w:proofErr w:type="gramEnd"/>
      <w:r w:rsidRPr="0032072F">
        <w:rPr>
          <w:rFonts w:ascii="Times New Roman" w:eastAsia="Calibri" w:hAnsi="Times New Roman" w:cs="Times New Roman"/>
          <w:i/>
          <w:iCs/>
          <w:sz w:val="24"/>
          <w:szCs w:val="24"/>
        </w:rPr>
        <w:t xml:space="preserve"> Peace to End All Peace: the Fall of the Ottoman Empire and the Creation of the Modern Middle East</w:t>
      </w:r>
      <w:r w:rsidRPr="0032072F">
        <w:rPr>
          <w:rFonts w:ascii="Times New Roman" w:eastAsia="Calibri" w:hAnsi="Times New Roman" w:cs="Times New Roman"/>
          <w:sz w:val="24"/>
          <w:szCs w:val="24"/>
        </w:rPr>
        <w:t xml:space="preserve"> (New York: Avon Books, 1990), pp. 493-567.</w:t>
      </w:r>
    </w:p>
    <w:p w:rsidR="0032072F" w:rsidRPr="0032072F" w:rsidRDefault="0032072F" w:rsidP="0032072F">
      <w:pPr>
        <w:bidi w:val="0"/>
        <w:spacing w:after="0" w:line="480" w:lineRule="auto"/>
        <w:rPr>
          <w:rFonts w:ascii="Times New Roman" w:eastAsia="Calibri" w:hAnsi="Times New Roman" w:cs="Times New Roman"/>
          <w:sz w:val="24"/>
          <w:szCs w:val="24"/>
        </w:rPr>
      </w:pPr>
      <w:r w:rsidRPr="0032072F">
        <w:rPr>
          <w:rFonts w:ascii="Times New Roman" w:eastAsia="Calibri" w:hAnsi="Times New Roman" w:cs="Times New Roman"/>
          <w:sz w:val="24"/>
          <w:szCs w:val="24"/>
        </w:rPr>
        <w:lastRenderedPageBreak/>
        <w:t xml:space="preserve">* Benjamin Miller, “Balance of Power or the State-to-Nation Balance: Explaining Middle East War-Propensity,” </w:t>
      </w:r>
      <w:r w:rsidRPr="0032072F">
        <w:rPr>
          <w:rFonts w:ascii="Times New Roman" w:eastAsia="Calibri" w:hAnsi="Times New Roman" w:cs="Times New Roman"/>
          <w:i/>
          <w:iCs/>
          <w:sz w:val="24"/>
          <w:szCs w:val="24"/>
        </w:rPr>
        <w:t>Security Studies</w:t>
      </w:r>
      <w:r w:rsidRPr="0032072F">
        <w:rPr>
          <w:rFonts w:ascii="Times New Roman" w:eastAsia="Calibri" w:hAnsi="Times New Roman" w:cs="Times New Roman"/>
          <w:sz w:val="24"/>
          <w:szCs w:val="24"/>
        </w:rPr>
        <w:t>, vol. 15, no. 4 (October 2006), pp. 658 - 705</w:t>
      </w:r>
    </w:p>
    <w:p w:rsidR="0032072F" w:rsidRPr="0032072F" w:rsidRDefault="0032072F" w:rsidP="0032072F">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 xml:space="preserve">שנות המנדט/פרוטקטוראט והתהליכים </w:t>
      </w:r>
      <w:r w:rsidR="00961BD4">
        <w:rPr>
          <w:rFonts w:asciiTheme="majorBidi" w:hAnsiTheme="majorBidi" w:cstheme="majorBidi" w:hint="cs"/>
          <w:sz w:val="24"/>
          <w:szCs w:val="24"/>
          <w:rtl/>
        </w:rPr>
        <w:t>שהובילו למלחמת 1948</w:t>
      </w:r>
      <w:r>
        <w:rPr>
          <w:rFonts w:asciiTheme="majorBidi" w:hAnsiTheme="majorBidi" w:cstheme="majorBidi" w:hint="cs"/>
          <w:sz w:val="24"/>
          <w:szCs w:val="24"/>
          <w:rtl/>
        </w:rPr>
        <w:t xml:space="preserve"> </w:t>
      </w:r>
    </w:p>
    <w:p w:rsidR="0032072F" w:rsidRPr="0060031E" w:rsidRDefault="0060031E" w:rsidP="00DE5029">
      <w:pPr>
        <w:bidi w:val="0"/>
        <w:spacing w:after="0" w:line="480" w:lineRule="auto"/>
        <w:rPr>
          <w:rFonts w:ascii="Times New Roman" w:eastAsia="Calibri" w:hAnsi="Times New Roman" w:cs="Times New Roman"/>
          <w:sz w:val="24"/>
          <w:szCs w:val="24"/>
        </w:rPr>
      </w:pPr>
      <w:r w:rsidRPr="0060031E">
        <w:rPr>
          <w:rFonts w:ascii="Times New Roman" w:eastAsia="Calibri" w:hAnsi="Times New Roman" w:cs="Times New Roman"/>
          <w:sz w:val="24"/>
          <w:szCs w:val="24"/>
        </w:rPr>
        <w:t xml:space="preserve">Michael </w:t>
      </w:r>
      <w:proofErr w:type="spellStart"/>
      <w:r w:rsidRPr="0060031E">
        <w:rPr>
          <w:rFonts w:ascii="Times New Roman" w:eastAsia="Calibri" w:hAnsi="Times New Roman" w:cs="Times New Roman"/>
          <w:sz w:val="24"/>
          <w:szCs w:val="24"/>
        </w:rPr>
        <w:t>Eppel</w:t>
      </w:r>
      <w:proofErr w:type="spellEnd"/>
      <w:r w:rsidRPr="0060031E">
        <w:rPr>
          <w:rFonts w:ascii="Times New Roman" w:eastAsia="Calibri" w:hAnsi="Times New Roman" w:cs="Times New Roman"/>
          <w:sz w:val="24"/>
          <w:szCs w:val="24"/>
        </w:rPr>
        <w:t xml:space="preserve">, </w:t>
      </w:r>
      <w:proofErr w:type="gramStart"/>
      <w:r w:rsidR="00DE5029" w:rsidRPr="00DE5029">
        <w:rPr>
          <w:rFonts w:ascii="Times New Roman" w:eastAsia="Calibri" w:hAnsi="Times New Roman" w:cs="Times New Roman"/>
          <w:i/>
          <w:iCs/>
          <w:sz w:val="24"/>
          <w:szCs w:val="24"/>
        </w:rPr>
        <w:t>The</w:t>
      </w:r>
      <w:proofErr w:type="gramEnd"/>
      <w:r w:rsidR="00DE5029" w:rsidRPr="00DE5029">
        <w:rPr>
          <w:rFonts w:ascii="Times New Roman" w:eastAsia="Calibri" w:hAnsi="Times New Roman" w:cs="Times New Roman"/>
          <w:i/>
          <w:iCs/>
          <w:sz w:val="24"/>
          <w:szCs w:val="24"/>
        </w:rPr>
        <w:t xml:space="preserve"> Palestine Conflict in the History of Modern Iraq</w:t>
      </w:r>
      <w:r w:rsidR="00DE5029" w:rsidRPr="00DE5029">
        <w:rPr>
          <w:rFonts w:ascii="Times New Roman" w:eastAsia="Calibri" w:hAnsi="Times New Roman" w:cs="Times New Roman"/>
          <w:sz w:val="24"/>
          <w:szCs w:val="24"/>
        </w:rPr>
        <w:t>. London: Frank Cass, 1994</w:t>
      </w:r>
    </w:p>
    <w:p w:rsidR="00DE5029" w:rsidRDefault="00DE5029" w:rsidP="00DE5029">
      <w:pPr>
        <w:bidi w:val="0"/>
        <w:spacing w:after="0" w:line="480" w:lineRule="auto"/>
        <w:rPr>
          <w:rFonts w:ascii="Times New Roman" w:eastAsia="Calibri" w:hAnsi="Times New Roman" w:cs="Times New Roman"/>
          <w:sz w:val="24"/>
          <w:szCs w:val="24"/>
        </w:rPr>
      </w:pPr>
      <w:proofErr w:type="spellStart"/>
      <w:r w:rsidRPr="00DE5029">
        <w:rPr>
          <w:rFonts w:ascii="Times New Roman" w:eastAsia="Calibri" w:hAnsi="Times New Roman" w:cs="Times New Roman"/>
          <w:sz w:val="24"/>
          <w:szCs w:val="24"/>
        </w:rPr>
        <w:t>Avi</w:t>
      </w:r>
      <w:proofErr w:type="spellEnd"/>
      <w:r w:rsidRPr="00DE5029">
        <w:rPr>
          <w:rFonts w:ascii="Times New Roman" w:eastAsia="Calibri" w:hAnsi="Times New Roman" w:cs="Times New Roman"/>
          <w:sz w:val="24"/>
          <w:szCs w:val="24"/>
        </w:rPr>
        <w:t xml:space="preserve"> </w:t>
      </w:r>
      <w:proofErr w:type="spellStart"/>
      <w:r w:rsidRPr="00DE5029">
        <w:rPr>
          <w:rFonts w:ascii="Times New Roman" w:eastAsia="Calibri" w:hAnsi="Times New Roman" w:cs="Times New Roman"/>
          <w:sz w:val="24"/>
          <w:szCs w:val="24"/>
        </w:rPr>
        <w:t>shlaim</w:t>
      </w:r>
      <w:proofErr w:type="spellEnd"/>
      <w:r w:rsidRPr="00DE5029">
        <w:rPr>
          <w:rFonts w:ascii="Times New Roman" w:eastAsia="Calibri" w:hAnsi="Times New Roman" w:cs="Times New Roman"/>
          <w:sz w:val="24"/>
          <w:szCs w:val="24"/>
        </w:rPr>
        <w:t xml:space="preserve"> and Eugene Rogan, </w:t>
      </w:r>
      <w:r>
        <w:rPr>
          <w:rFonts w:ascii="Times New Roman" w:eastAsia="Calibri" w:hAnsi="Times New Roman" w:cs="Times New Roman"/>
          <w:sz w:val="24"/>
          <w:szCs w:val="24"/>
        </w:rPr>
        <w:t xml:space="preserve">The War for Palestine: </w:t>
      </w:r>
      <w:r w:rsidRPr="00DE5029">
        <w:rPr>
          <w:rFonts w:ascii="Times New Roman" w:eastAsia="Calibri" w:hAnsi="Times New Roman" w:cs="Times New Roman"/>
          <w:sz w:val="24"/>
          <w:szCs w:val="24"/>
        </w:rPr>
        <w:t>Rewriting the History of 1948</w:t>
      </w:r>
      <w:r>
        <w:rPr>
          <w:rFonts w:ascii="Times New Roman" w:eastAsia="Calibri" w:hAnsi="Times New Roman" w:cs="Times New Roman"/>
          <w:sz w:val="24"/>
          <w:szCs w:val="24"/>
        </w:rPr>
        <w:t>, 2</w:t>
      </w:r>
      <w:r w:rsidRPr="00DE5029">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edition (Cambridge UP, 2008), chapters 4-8, 10. </w:t>
      </w:r>
      <w:proofErr w:type="gramStart"/>
      <w:r>
        <w:rPr>
          <w:rFonts w:ascii="Times New Roman" w:eastAsia="Calibri" w:hAnsi="Times New Roman" w:cs="Times New Roman"/>
          <w:sz w:val="24"/>
          <w:szCs w:val="24"/>
        </w:rPr>
        <w:t>skim</w:t>
      </w:r>
      <w:proofErr w:type="gramEnd"/>
      <w:r>
        <w:rPr>
          <w:rFonts w:ascii="Times New Roman" w:eastAsia="Calibri" w:hAnsi="Times New Roman" w:cs="Times New Roman"/>
          <w:sz w:val="24"/>
          <w:szCs w:val="24"/>
        </w:rPr>
        <w:t>.</w:t>
      </w:r>
    </w:p>
    <w:p w:rsidR="00DE5029" w:rsidRDefault="00DE5029" w:rsidP="00DE5029">
      <w:pPr>
        <w:bidi w:val="0"/>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Eppel</w:t>
      </w:r>
      <w:proofErr w:type="spellEnd"/>
      <w:r>
        <w:rPr>
          <w:rFonts w:ascii="Times New Roman" w:eastAsia="Calibri" w:hAnsi="Times New Roman" w:cs="Times New Roman"/>
          <w:sz w:val="24"/>
          <w:szCs w:val="24"/>
        </w:rPr>
        <w:t xml:space="preserve">, </w:t>
      </w:r>
      <w:r w:rsidRPr="00DE5029">
        <w:rPr>
          <w:rFonts w:ascii="Times New Roman" w:eastAsia="Calibri" w:hAnsi="Times New Roman" w:cs="Times New Roman"/>
          <w:sz w:val="24"/>
          <w:szCs w:val="24"/>
        </w:rPr>
        <w:t xml:space="preserve">"The Iraqi Domestic Scene and its Bearing on the Palestine Issue 1947", </w:t>
      </w:r>
      <w:r w:rsidRPr="00DE5029">
        <w:rPr>
          <w:rFonts w:ascii="Times New Roman" w:eastAsia="Calibri" w:hAnsi="Times New Roman" w:cs="Times New Roman"/>
          <w:i/>
          <w:iCs/>
          <w:sz w:val="24"/>
          <w:szCs w:val="24"/>
        </w:rPr>
        <w:t>Asian and African Studies</w:t>
      </w:r>
      <w:r>
        <w:rPr>
          <w:rFonts w:ascii="Times New Roman" w:eastAsia="Calibri" w:hAnsi="Times New Roman" w:cs="Times New Roman"/>
          <w:sz w:val="24"/>
          <w:szCs w:val="24"/>
        </w:rPr>
        <w:t xml:space="preserve">, Vol. 24, (1990), </w:t>
      </w:r>
      <w:r w:rsidRPr="00DE5029">
        <w:rPr>
          <w:rFonts w:ascii="Times New Roman" w:eastAsia="Calibri" w:hAnsi="Times New Roman" w:cs="Times New Roman"/>
          <w:sz w:val="24"/>
          <w:szCs w:val="24"/>
        </w:rPr>
        <w:t>pp. 51-73.</w:t>
      </w:r>
    </w:p>
    <w:p w:rsidR="00DE5029" w:rsidRPr="00DE5029" w:rsidRDefault="00DE5029" w:rsidP="00DE5029">
      <w:pPr>
        <w:bidi w:val="0"/>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Eppel</w:t>
      </w:r>
      <w:proofErr w:type="spellEnd"/>
      <w:r>
        <w:rPr>
          <w:rFonts w:ascii="Times New Roman" w:eastAsia="Calibri" w:hAnsi="Times New Roman" w:cs="Times New Roman"/>
          <w:sz w:val="24"/>
          <w:szCs w:val="24"/>
        </w:rPr>
        <w:t xml:space="preserve">, </w:t>
      </w:r>
      <w:r w:rsidRPr="00DE5029">
        <w:rPr>
          <w:rFonts w:ascii="Times New Roman" w:eastAsia="Calibri" w:hAnsi="Times New Roman" w:cs="Times New Roman"/>
          <w:sz w:val="24"/>
          <w:szCs w:val="24"/>
        </w:rPr>
        <w:t xml:space="preserve">"Syria and Iraqi-Syrian Relations </w:t>
      </w:r>
      <w:proofErr w:type="gramStart"/>
      <w:r w:rsidRPr="00DE5029">
        <w:rPr>
          <w:rFonts w:ascii="Times New Roman" w:eastAsia="Calibri" w:hAnsi="Times New Roman" w:cs="Times New Roman"/>
          <w:sz w:val="24"/>
          <w:szCs w:val="24"/>
        </w:rPr>
        <w:t>During</w:t>
      </w:r>
      <w:proofErr w:type="gramEnd"/>
      <w:r w:rsidRPr="00DE5029">
        <w:rPr>
          <w:rFonts w:ascii="Times New Roman" w:eastAsia="Calibri" w:hAnsi="Times New Roman" w:cs="Times New Roman"/>
          <w:sz w:val="24"/>
          <w:szCs w:val="24"/>
        </w:rPr>
        <w:t xml:space="preserve"> the 1948 War in Palestine", </w:t>
      </w:r>
      <w:r w:rsidRPr="00DE5029">
        <w:rPr>
          <w:rFonts w:ascii="Times New Roman" w:eastAsia="Calibri" w:hAnsi="Times New Roman" w:cs="Times New Roman"/>
          <w:i/>
          <w:iCs/>
          <w:sz w:val="24"/>
          <w:szCs w:val="24"/>
        </w:rPr>
        <w:t>Middle Eastern Studies</w:t>
      </w:r>
      <w:r>
        <w:rPr>
          <w:rFonts w:ascii="Times New Roman" w:eastAsia="Calibri" w:hAnsi="Times New Roman" w:cs="Times New Roman"/>
          <w:sz w:val="24"/>
          <w:szCs w:val="24"/>
        </w:rPr>
        <w:t xml:space="preserve">, Vol. 32, (1996), </w:t>
      </w:r>
      <w:r w:rsidRPr="00DE5029">
        <w:rPr>
          <w:rFonts w:ascii="Times New Roman" w:eastAsia="Calibri" w:hAnsi="Times New Roman" w:cs="Times New Roman"/>
          <w:sz w:val="24"/>
          <w:szCs w:val="24"/>
        </w:rPr>
        <w:t>pp. 74-91.</w:t>
      </w:r>
    </w:p>
    <w:p w:rsidR="00DE5029" w:rsidRPr="0032072F" w:rsidRDefault="00DE5029" w:rsidP="00C3743D">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שנות ה</w:t>
      </w:r>
      <w:r w:rsidR="00C3743D">
        <w:rPr>
          <w:rFonts w:asciiTheme="majorBidi" w:hAnsiTheme="majorBidi" w:cstheme="majorBidi" w:hint="cs"/>
          <w:sz w:val="24"/>
          <w:szCs w:val="24"/>
          <w:rtl/>
        </w:rPr>
        <w:t>חמישים (1948</w:t>
      </w:r>
      <w:r w:rsidR="008C108D">
        <w:rPr>
          <w:rFonts w:asciiTheme="majorBidi" w:hAnsiTheme="majorBidi" w:cstheme="majorBidi" w:hint="cs"/>
          <w:sz w:val="24"/>
          <w:szCs w:val="24"/>
          <w:rtl/>
        </w:rPr>
        <w:t>-1958</w:t>
      </w:r>
      <w:r w:rsidR="00C3743D">
        <w:rPr>
          <w:rFonts w:asciiTheme="majorBidi" w:hAnsiTheme="majorBidi" w:cstheme="majorBidi" w:hint="cs"/>
          <w:sz w:val="24"/>
          <w:szCs w:val="24"/>
          <w:rtl/>
        </w:rPr>
        <w:t>)</w:t>
      </w:r>
      <w:r w:rsidR="008C108D">
        <w:rPr>
          <w:rFonts w:asciiTheme="majorBidi" w:hAnsiTheme="majorBidi" w:cstheme="majorBidi" w:hint="cs"/>
          <w:sz w:val="24"/>
          <w:szCs w:val="24"/>
          <w:rtl/>
        </w:rPr>
        <w:t xml:space="preserve"> ועלית הנאצריזם</w:t>
      </w:r>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Leonard Binder, “The Middle East as a Subordinate International System,” World Politics 10, no. 3 (April 1958): 408 – 429. </w:t>
      </w:r>
    </w:p>
    <w:p w:rsidR="008C108D" w:rsidRPr="00F37393" w:rsidRDefault="008C108D" w:rsidP="00F37393">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Malcolm Kerr, The Arab Cold War: Gamal </w:t>
      </w:r>
      <w:proofErr w:type="spellStart"/>
      <w:r w:rsidRPr="008C108D">
        <w:rPr>
          <w:rFonts w:ascii="Times New Roman" w:eastAsia="Calibri" w:hAnsi="Times New Roman" w:cs="Times New Roman"/>
          <w:sz w:val="24"/>
          <w:szCs w:val="24"/>
        </w:rPr>
        <w:t>Abd</w:t>
      </w:r>
      <w:proofErr w:type="spellEnd"/>
      <w:r w:rsidRPr="008C108D">
        <w:rPr>
          <w:rFonts w:ascii="Times New Roman" w:eastAsia="Calibri" w:hAnsi="Times New Roman" w:cs="Times New Roman"/>
          <w:sz w:val="24"/>
          <w:szCs w:val="24"/>
        </w:rPr>
        <w:t xml:space="preserve"> al </w:t>
      </w:r>
      <w:r>
        <w:rPr>
          <w:rFonts w:ascii="Times New Roman" w:eastAsia="Calibri" w:hAnsi="Times New Roman" w:cs="Times New Roman"/>
          <w:sz w:val="24"/>
          <w:szCs w:val="24"/>
        </w:rPr>
        <w:t xml:space="preserve">Nasir and His Rivals, 1958-1970 </w:t>
      </w:r>
      <w:r w:rsidRPr="008C108D">
        <w:rPr>
          <w:rFonts w:ascii="Times New Roman" w:eastAsia="Calibri" w:hAnsi="Times New Roman" w:cs="Times New Roman"/>
          <w:sz w:val="24"/>
          <w:szCs w:val="24"/>
        </w:rPr>
        <w:t>(London: Oxford University Press, 1971), 1-25</w:t>
      </w:r>
    </w:p>
    <w:p w:rsidR="00F37393" w:rsidRPr="00F37393" w:rsidRDefault="00F37393" w:rsidP="00F37393">
      <w:pPr>
        <w:spacing w:after="0" w:line="480" w:lineRule="auto"/>
        <w:rPr>
          <w:rFonts w:asciiTheme="majorBidi" w:hAnsiTheme="majorBidi" w:cstheme="majorBidi"/>
          <w:sz w:val="24"/>
          <w:szCs w:val="24"/>
          <w:rtl/>
        </w:rPr>
      </w:pPr>
      <w:r w:rsidRPr="00F37393">
        <w:rPr>
          <w:rFonts w:asciiTheme="majorBidi" w:hAnsiTheme="majorBidi" w:cstheme="majorBidi" w:hint="cs"/>
          <w:sz w:val="24"/>
          <w:szCs w:val="24"/>
          <w:rtl/>
        </w:rPr>
        <w:t>התהליכים שהובילו ליציאה למלחמה</w:t>
      </w:r>
    </w:p>
    <w:p w:rsidR="00F37393" w:rsidRPr="00F37393" w:rsidRDefault="00F37393" w:rsidP="00F37393">
      <w:pPr>
        <w:bidi w:val="0"/>
        <w:spacing w:after="0" w:line="480" w:lineRule="auto"/>
        <w:rPr>
          <w:rFonts w:asciiTheme="majorBidi" w:hAnsiTheme="majorBidi" w:cstheme="majorBidi"/>
          <w:sz w:val="24"/>
          <w:szCs w:val="24"/>
          <w:u w:val="single"/>
        </w:rPr>
      </w:pPr>
      <w:r w:rsidRPr="00F37393">
        <w:rPr>
          <w:rFonts w:asciiTheme="majorBidi" w:hAnsiTheme="majorBidi" w:cstheme="majorBidi"/>
          <w:sz w:val="24"/>
          <w:szCs w:val="24"/>
          <w:lang w:val="en"/>
        </w:rPr>
        <w:t>Ian Black, "Secrets and lies at the heart of Britain's Middle Eastern folly" The Guardian, 11 July, 2006</w:t>
      </w:r>
    </w:p>
    <w:p w:rsidR="00F37393" w:rsidRPr="00F37393" w:rsidRDefault="00E40FE4" w:rsidP="00F37393">
      <w:pPr>
        <w:bidi w:val="0"/>
        <w:spacing w:after="0" w:line="480" w:lineRule="auto"/>
        <w:rPr>
          <w:rFonts w:asciiTheme="majorBidi" w:hAnsiTheme="majorBidi" w:cstheme="majorBidi"/>
          <w:sz w:val="24"/>
          <w:szCs w:val="24"/>
          <w:u w:val="single"/>
        </w:rPr>
      </w:pPr>
      <w:hyperlink r:id="rId8" w:history="1">
        <w:r w:rsidR="00F37393" w:rsidRPr="00F37393">
          <w:rPr>
            <w:rStyle w:val="Hyperlink"/>
            <w:rFonts w:asciiTheme="majorBidi" w:hAnsiTheme="majorBidi" w:cstheme="majorBidi"/>
            <w:sz w:val="24"/>
            <w:szCs w:val="24"/>
          </w:rPr>
          <w:t>http://www.guardian.co.uk/uk/2006/jul/11/egypt.past</w:t>
        </w:r>
      </w:hyperlink>
    </w:p>
    <w:p w:rsidR="00F37393" w:rsidRPr="00F37393" w:rsidRDefault="00F37393" w:rsidP="00F37393">
      <w:pPr>
        <w:bidi w:val="0"/>
        <w:spacing w:after="0" w:line="480" w:lineRule="auto"/>
        <w:rPr>
          <w:rFonts w:asciiTheme="majorBidi" w:hAnsiTheme="majorBidi" w:cstheme="majorBidi"/>
          <w:sz w:val="24"/>
          <w:szCs w:val="24"/>
        </w:rPr>
      </w:pPr>
      <w:r w:rsidRPr="00F37393">
        <w:rPr>
          <w:rFonts w:asciiTheme="majorBidi" w:hAnsiTheme="majorBidi" w:cstheme="majorBidi"/>
          <w:i/>
          <w:iCs/>
          <w:sz w:val="24"/>
          <w:szCs w:val="24"/>
        </w:rPr>
        <w:t>Shimon Peres: The Biography</w:t>
      </w:r>
      <w:r w:rsidRPr="00F37393">
        <w:rPr>
          <w:rFonts w:asciiTheme="majorBidi" w:hAnsiTheme="majorBidi" w:cstheme="majorBidi"/>
          <w:sz w:val="24"/>
          <w:szCs w:val="24"/>
        </w:rPr>
        <w:t xml:space="preserve">, by Michael Bar-Zohar, New York: Random House, 2007 Chapters 11-12 "Suez" and "Secret Meeting at </w:t>
      </w:r>
      <w:proofErr w:type="spellStart"/>
      <w:r w:rsidRPr="00F37393">
        <w:rPr>
          <w:rFonts w:asciiTheme="majorBidi" w:hAnsiTheme="majorBidi" w:cstheme="majorBidi"/>
          <w:sz w:val="24"/>
          <w:szCs w:val="24"/>
        </w:rPr>
        <w:t>Severes</w:t>
      </w:r>
      <w:proofErr w:type="spellEnd"/>
      <w:r w:rsidRPr="00F37393">
        <w:rPr>
          <w:rFonts w:asciiTheme="majorBidi" w:hAnsiTheme="majorBidi" w:cstheme="majorBidi"/>
          <w:sz w:val="24"/>
          <w:szCs w:val="24"/>
        </w:rPr>
        <w:t>" pp. 132-154</w:t>
      </w:r>
    </w:p>
    <w:p w:rsidR="00F37393" w:rsidRPr="00F37393" w:rsidRDefault="00F37393" w:rsidP="00F37393">
      <w:pPr>
        <w:bidi w:val="0"/>
        <w:spacing w:after="0" w:line="480" w:lineRule="auto"/>
        <w:rPr>
          <w:rFonts w:asciiTheme="majorBidi" w:hAnsiTheme="majorBidi" w:cstheme="majorBidi"/>
          <w:sz w:val="24"/>
          <w:szCs w:val="24"/>
        </w:rPr>
      </w:pPr>
      <w:r w:rsidRPr="00F37393">
        <w:rPr>
          <w:rFonts w:asciiTheme="majorBidi" w:hAnsiTheme="majorBidi" w:cstheme="majorBidi" w:hint="cs"/>
          <w:sz w:val="24"/>
          <w:szCs w:val="24"/>
          <w:rtl/>
        </w:rPr>
        <w:t xml:space="preserve"> </w:t>
      </w:r>
      <w:proofErr w:type="spellStart"/>
      <w:r w:rsidRPr="00F37393">
        <w:rPr>
          <w:rFonts w:asciiTheme="majorBidi" w:hAnsiTheme="majorBidi" w:cstheme="majorBidi"/>
          <w:sz w:val="24"/>
          <w:szCs w:val="24"/>
        </w:rPr>
        <w:t>Avi</w:t>
      </w:r>
      <w:proofErr w:type="spellEnd"/>
      <w:r w:rsidRPr="00F37393">
        <w:rPr>
          <w:rFonts w:asciiTheme="majorBidi" w:hAnsiTheme="majorBidi" w:cstheme="majorBidi"/>
          <w:sz w:val="24"/>
          <w:szCs w:val="24"/>
        </w:rPr>
        <w:t xml:space="preserve"> </w:t>
      </w:r>
      <w:proofErr w:type="spellStart"/>
      <w:r w:rsidRPr="00F37393">
        <w:rPr>
          <w:rFonts w:asciiTheme="majorBidi" w:hAnsiTheme="majorBidi" w:cstheme="majorBidi"/>
          <w:sz w:val="24"/>
          <w:szCs w:val="24"/>
        </w:rPr>
        <w:t>Shlaim</w:t>
      </w:r>
      <w:proofErr w:type="spellEnd"/>
      <w:r w:rsidRPr="00F37393">
        <w:rPr>
          <w:rFonts w:asciiTheme="majorBidi" w:hAnsiTheme="majorBidi" w:cstheme="majorBidi"/>
          <w:sz w:val="24"/>
          <w:szCs w:val="24"/>
        </w:rPr>
        <w:t>, "The Protocol of Sèvres</w:t>
      </w:r>
      <w:proofErr w:type="gramStart"/>
      <w:r w:rsidRPr="00F37393">
        <w:rPr>
          <w:rFonts w:asciiTheme="majorBidi" w:hAnsiTheme="majorBidi" w:cstheme="majorBidi"/>
          <w:sz w:val="24"/>
          <w:szCs w:val="24"/>
        </w:rPr>
        <w:t>,1956</w:t>
      </w:r>
      <w:proofErr w:type="gramEnd"/>
      <w:r w:rsidRPr="00F37393">
        <w:rPr>
          <w:rFonts w:asciiTheme="majorBidi" w:hAnsiTheme="majorBidi" w:cstheme="majorBidi"/>
          <w:sz w:val="24"/>
          <w:szCs w:val="24"/>
        </w:rPr>
        <w:t xml:space="preserve">: Anatomy of a War Plot" </w:t>
      </w:r>
      <w:r w:rsidRPr="00F37393">
        <w:rPr>
          <w:rFonts w:asciiTheme="majorBidi" w:hAnsiTheme="majorBidi" w:cstheme="majorBidi"/>
          <w:i/>
          <w:iCs/>
          <w:sz w:val="24"/>
          <w:szCs w:val="24"/>
        </w:rPr>
        <w:t>International Affairs</w:t>
      </w:r>
      <w:r w:rsidRPr="00F37393">
        <w:rPr>
          <w:rFonts w:asciiTheme="majorBidi" w:hAnsiTheme="majorBidi" w:cstheme="majorBidi"/>
          <w:sz w:val="24"/>
          <w:szCs w:val="24"/>
        </w:rPr>
        <w:t xml:space="preserve">,73:3(1997),509-530.  </w:t>
      </w:r>
      <w:hyperlink r:id="rId9" w:history="1">
        <w:r w:rsidRPr="00F37393">
          <w:rPr>
            <w:rStyle w:val="Hyperlink"/>
            <w:rFonts w:asciiTheme="majorBidi" w:hAnsiTheme="majorBidi" w:cstheme="majorBidi"/>
            <w:sz w:val="24"/>
            <w:szCs w:val="24"/>
          </w:rPr>
          <w:t>http://users.ox.ac.uk/~ssfc0005/The%20Protocol%20of%20Sevres%201956%20Anatomy%20of%20a%20War%20Plot.html</w:t>
        </w:r>
      </w:hyperlink>
    </w:p>
    <w:p w:rsidR="00F37393" w:rsidRPr="00F37393" w:rsidRDefault="00F37393" w:rsidP="00F37393">
      <w:pPr>
        <w:bidi w:val="0"/>
        <w:spacing w:after="0" w:line="480" w:lineRule="auto"/>
        <w:rPr>
          <w:rFonts w:asciiTheme="majorBidi" w:hAnsiTheme="majorBidi" w:cstheme="majorBidi"/>
          <w:sz w:val="24"/>
          <w:szCs w:val="24"/>
        </w:rPr>
      </w:pPr>
    </w:p>
    <w:p w:rsidR="00F37393" w:rsidRPr="00F37393" w:rsidRDefault="00F37393" w:rsidP="00F37393">
      <w:pPr>
        <w:bidi w:val="0"/>
        <w:spacing w:after="0" w:line="480" w:lineRule="auto"/>
        <w:rPr>
          <w:rFonts w:asciiTheme="majorBidi" w:hAnsiTheme="majorBidi" w:cstheme="majorBidi"/>
          <w:sz w:val="24"/>
          <w:szCs w:val="24"/>
        </w:rPr>
      </w:pPr>
      <w:r w:rsidRPr="00F37393">
        <w:rPr>
          <w:rFonts w:asciiTheme="majorBidi" w:hAnsiTheme="majorBidi" w:cstheme="majorBidi"/>
          <w:sz w:val="24"/>
          <w:szCs w:val="24"/>
        </w:rPr>
        <w:t xml:space="preserve">Michael Oren, "The Second War of Independence" </w:t>
      </w:r>
      <w:r w:rsidRPr="00F37393">
        <w:rPr>
          <w:rFonts w:asciiTheme="majorBidi" w:hAnsiTheme="majorBidi" w:cstheme="majorBidi"/>
          <w:i/>
          <w:iCs/>
          <w:sz w:val="24"/>
          <w:szCs w:val="24"/>
        </w:rPr>
        <w:t>Azure</w:t>
      </w:r>
      <w:r w:rsidRPr="00F37393">
        <w:rPr>
          <w:rFonts w:asciiTheme="majorBidi" w:hAnsiTheme="majorBidi" w:cstheme="majorBidi"/>
          <w:sz w:val="24"/>
          <w:szCs w:val="24"/>
        </w:rPr>
        <w:t xml:space="preserve"> Winter, 5676\2007 pp 41-</w:t>
      </w:r>
      <w:proofErr w:type="gramStart"/>
      <w:r w:rsidRPr="00F37393">
        <w:rPr>
          <w:rFonts w:asciiTheme="majorBidi" w:hAnsiTheme="majorBidi" w:cstheme="majorBidi"/>
          <w:sz w:val="24"/>
          <w:szCs w:val="24"/>
        </w:rPr>
        <w:t xml:space="preserve">48  </w:t>
      </w:r>
      <w:proofErr w:type="gramEnd"/>
      <w:r w:rsidRPr="00F37393">
        <w:rPr>
          <w:rFonts w:asciiTheme="majorBidi" w:hAnsiTheme="majorBidi" w:cstheme="majorBidi"/>
          <w:sz w:val="24"/>
          <w:szCs w:val="24"/>
        </w:rPr>
        <w:fldChar w:fldCharType="begin"/>
      </w:r>
      <w:r w:rsidRPr="00F37393">
        <w:rPr>
          <w:rFonts w:asciiTheme="majorBidi" w:hAnsiTheme="majorBidi" w:cstheme="majorBidi"/>
          <w:sz w:val="24"/>
          <w:szCs w:val="24"/>
        </w:rPr>
        <w:instrText xml:space="preserve"> HYPERLINK "http://www.azure.org.il/download/magazine/1117Az27_currents_.pdf" </w:instrText>
      </w:r>
      <w:r w:rsidRPr="00F37393">
        <w:rPr>
          <w:rFonts w:asciiTheme="majorBidi" w:hAnsiTheme="majorBidi" w:cstheme="majorBidi"/>
          <w:sz w:val="24"/>
          <w:szCs w:val="24"/>
        </w:rPr>
        <w:fldChar w:fldCharType="separate"/>
      </w:r>
      <w:r w:rsidRPr="00F37393">
        <w:rPr>
          <w:rStyle w:val="Hyperlink"/>
          <w:rFonts w:asciiTheme="majorBidi" w:hAnsiTheme="majorBidi" w:cstheme="majorBidi"/>
          <w:sz w:val="24"/>
          <w:szCs w:val="24"/>
        </w:rPr>
        <w:t>http://www.azure.org.il/download/magazine/1117Az27_currents_.pdf</w:t>
      </w:r>
      <w:r w:rsidRPr="00F37393">
        <w:rPr>
          <w:rFonts w:asciiTheme="majorBidi" w:hAnsiTheme="majorBidi" w:cstheme="majorBidi"/>
          <w:sz w:val="24"/>
          <w:szCs w:val="24"/>
        </w:rPr>
        <w:fldChar w:fldCharType="end"/>
      </w:r>
    </w:p>
    <w:p w:rsidR="008C108D" w:rsidRDefault="008C108D" w:rsidP="008C108D">
      <w:pPr>
        <w:bidi w:val="0"/>
        <w:spacing w:after="0" w:line="480" w:lineRule="auto"/>
        <w:rPr>
          <w:rFonts w:asciiTheme="majorBidi" w:hAnsiTheme="majorBidi" w:cstheme="majorBidi"/>
          <w:sz w:val="24"/>
          <w:szCs w:val="24"/>
        </w:rPr>
      </w:pPr>
    </w:p>
    <w:p w:rsidR="004F31C7" w:rsidRDefault="008C108D" w:rsidP="008C108D">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שנות השישים והתהליכים שהובילו לפרוץ מלחמת ששת הימים</w:t>
      </w:r>
      <w:r w:rsidR="00F37393">
        <w:rPr>
          <w:rFonts w:asciiTheme="majorBidi" w:hAnsiTheme="majorBidi" w:cstheme="majorBidi" w:hint="cs"/>
          <w:sz w:val="24"/>
          <w:szCs w:val="24"/>
          <w:rtl/>
        </w:rPr>
        <w:t xml:space="preserve"> (1958-1967)</w:t>
      </w:r>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*Peter </w:t>
      </w:r>
      <w:proofErr w:type="spellStart"/>
      <w:r w:rsidRPr="008C108D">
        <w:rPr>
          <w:rFonts w:ascii="Times New Roman" w:eastAsia="Calibri" w:hAnsi="Times New Roman" w:cs="Times New Roman"/>
          <w:sz w:val="24"/>
          <w:szCs w:val="24"/>
        </w:rPr>
        <w:t>Sluglett</w:t>
      </w:r>
      <w:proofErr w:type="spellEnd"/>
      <w:r w:rsidRPr="008C108D">
        <w:rPr>
          <w:rFonts w:ascii="Times New Roman" w:eastAsia="Calibri" w:hAnsi="Times New Roman" w:cs="Times New Roman"/>
          <w:sz w:val="24"/>
          <w:szCs w:val="24"/>
        </w:rPr>
        <w:t xml:space="preserve">, “The Pan Arab Movement and the Influence of Cairo and Moscow,” in Roger Louis and Roger Owen (eds.), </w:t>
      </w:r>
      <w:r w:rsidRPr="008C108D">
        <w:rPr>
          <w:rFonts w:ascii="Times New Roman" w:eastAsia="Calibri" w:hAnsi="Times New Roman" w:cs="Times New Roman"/>
          <w:i/>
          <w:iCs/>
          <w:sz w:val="24"/>
          <w:szCs w:val="24"/>
        </w:rPr>
        <w:t>A Revolutionary Year: the Middle East in 1958</w:t>
      </w:r>
      <w:r w:rsidRPr="008C108D">
        <w:rPr>
          <w:rFonts w:ascii="Times New Roman" w:eastAsia="Calibri" w:hAnsi="Times New Roman" w:cs="Times New Roman"/>
          <w:sz w:val="24"/>
          <w:szCs w:val="24"/>
        </w:rPr>
        <w:t xml:space="preserve"> (</w:t>
      </w:r>
      <w:r>
        <w:rPr>
          <w:rFonts w:ascii="Times New Roman" w:eastAsia="Calibri" w:hAnsi="Times New Roman" w:cs="Times New Roman"/>
          <w:sz w:val="24"/>
          <w:szCs w:val="24"/>
        </w:rPr>
        <w:t>Washington, DC</w:t>
      </w:r>
      <w:r w:rsidRPr="008C108D">
        <w:rPr>
          <w:rFonts w:ascii="Times New Roman" w:eastAsia="Calibri" w:hAnsi="Times New Roman" w:cs="Times New Roman"/>
          <w:sz w:val="24"/>
          <w:szCs w:val="24"/>
        </w:rPr>
        <w:t xml:space="preserve">: Woodrow Wilson Center Press, 2002), pp. 209-220. </w:t>
      </w:r>
    </w:p>
    <w:p w:rsidR="008C108D" w:rsidRPr="008C108D" w:rsidRDefault="008C108D" w:rsidP="008C108D">
      <w:pPr>
        <w:bidi w:val="0"/>
        <w:spacing w:line="360" w:lineRule="auto"/>
        <w:rPr>
          <w:rFonts w:ascii="Times New Roman" w:eastAsia="Calibri" w:hAnsi="Times New Roman" w:cs="Times New Roman"/>
          <w:sz w:val="24"/>
          <w:szCs w:val="24"/>
        </w:rPr>
      </w:pPr>
      <w:proofErr w:type="gramStart"/>
      <w:r w:rsidRPr="008C108D">
        <w:rPr>
          <w:rFonts w:ascii="Times New Roman" w:eastAsia="Calibri" w:hAnsi="Times New Roman" w:cs="Times New Roman"/>
          <w:sz w:val="24"/>
          <w:szCs w:val="24"/>
        </w:rPr>
        <w:t xml:space="preserve">* Leonard Binder, “The Middle East as a Subordinate International System,” </w:t>
      </w:r>
      <w:r w:rsidRPr="008C108D">
        <w:rPr>
          <w:rFonts w:ascii="Times New Roman" w:eastAsia="Calibri" w:hAnsi="Times New Roman" w:cs="Times New Roman"/>
          <w:i/>
          <w:iCs/>
          <w:sz w:val="24"/>
          <w:szCs w:val="24"/>
        </w:rPr>
        <w:t>World Politics</w:t>
      </w:r>
      <w:r w:rsidRPr="008C108D">
        <w:rPr>
          <w:rFonts w:ascii="Times New Roman" w:eastAsia="Calibri" w:hAnsi="Times New Roman" w:cs="Times New Roman"/>
          <w:sz w:val="24"/>
          <w:szCs w:val="24"/>
        </w:rPr>
        <w:t>, vol. 10, no. 3 (Apr., 1958), pp. 408-429.</w:t>
      </w:r>
      <w:proofErr w:type="gramEnd"/>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 Malcolm Kerr, </w:t>
      </w:r>
      <w:proofErr w:type="gramStart"/>
      <w:r w:rsidRPr="008C108D">
        <w:rPr>
          <w:rFonts w:ascii="Times New Roman" w:eastAsia="Calibri" w:hAnsi="Times New Roman" w:cs="Times New Roman"/>
          <w:i/>
          <w:iCs/>
          <w:sz w:val="24"/>
          <w:szCs w:val="24"/>
        </w:rPr>
        <w:t>The</w:t>
      </w:r>
      <w:proofErr w:type="gramEnd"/>
      <w:r w:rsidRPr="008C108D">
        <w:rPr>
          <w:rFonts w:ascii="Times New Roman" w:eastAsia="Calibri" w:hAnsi="Times New Roman" w:cs="Times New Roman"/>
          <w:i/>
          <w:iCs/>
          <w:sz w:val="24"/>
          <w:szCs w:val="24"/>
        </w:rPr>
        <w:t xml:space="preserve"> Arab Cold War, 1958-1970</w:t>
      </w:r>
      <w:r w:rsidRPr="008C108D">
        <w:rPr>
          <w:rFonts w:ascii="Times New Roman" w:eastAsia="Calibri" w:hAnsi="Times New Roman" w:cs="Times New Roman"/>
          <w:sz w:val="24"/>
          <w:szCs w:val="24"/>
        </w:rPr>
        <w:t xml:space="preserve"> (New York: 1971), pp. 1-137.</w:t>
      </w:r>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 Douglas Little, “The Cold War in the Middle East: Suez Crisis to Camp David Accords,” in Melvin </w:t>
      </w:r>
      <w:proofErr w:type="spellStart"/>
      <w:r w:rsidRPr="008C108D">
        <w:rPr>
          <w:rFonts w:ascii="Times New Roman" w:eastAsia="Calibri" w:hAnsi="Times New Roman" w:cs="Times New Roman"/>
          <w:sz w:val="24"/>
          <w:szCs w:val="24"/>
        </w:rPr>
        <w:t>Leffler</w:t>
      </w:r>
      <w:proofErr w:type="spellEnd"/>
      <w:r w:rsidRPr="008C108D">
        <w:rPr>
          <w:rFonts w:ascii="Times New Roman" w:eastAsia="Calibri" w:hAnsi="Times New Roman" w:cs="Times New Roman"/>
          <w:sz w:val="24"/>
          <w:szCs w:val="24"/>
        </w:rPr>
        <w:t xml:space="preserve"> and Odd </w:t>
      </w:r>
      <w:proofErr w:type="spellStart"/>
      <w:r w:rsidRPr="008C108D">
        <w:rPr>
          <w:rFonts w:ascii="Times New Roman" w:eastAsia="Calibri" w:hAnsi="Times New Roman" w:cs="Times New Roman"/>
          <w:sz w:val="24"/>
          <w:szCs w:val="24"/>
        </w:rPr>
        <w:t>Westad</w:t>
      </w:r>
      <w:proofErr w:type="spellEnd"/>
      <w:r w:rsidRPr="008C108D">
        <w:rPr>
          <w:rFonts w:ascii="Times New Roman" w:eastAsia="Calibri" w:hAnsi="Times New Roman" w:cs="Times New Roman"/>
          <w:sz w:val="24"/>
          <w:szCs w:val="24"/>
        </w:rPr>
        <w:t xml:space="preserve"> (eds.) </w:t>
      </w:r>
      <w:r w:rsidRPr="008C108D">
        <w:rPr>
          <w:rFonts w:ascii="Times New Roman" w:eastAsia="Calibri" w:hAnsi="Times New Roman" w:cs="Times New Roman"/>
          <w:i/>
          <w:iCs/>
          <w:sz w:val="24"/>
          <w:szCs w:val="24"/>
        </w:rPr>
        <w:t xml:space="preserve">The Cambridge History of the Cold War, Volume 2, Crises and Détente </w:t>
      </w:r>
      <w:r w:rsidRPr="008C108D">
        <w:rPr>
          <w:rFonts w:ascii="Times New Roman" w:eastAsia="Calibri" w:hAnsi="Times New Roman" w:cs="Times New Roman"/>
          <w:sz w:val="24"/>
          <w:szCs w:val="24"/>
        </w:rPr>
        <w:t xml:space="preserve">(New York: Cambridge University Press, 2009), chapter 15. </w:t>
      </w:r>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Further readings:</w:t>
      </w:r>
    </w:p>
    <w:p w:rsidR="008C108D" w:rsidRPr="008C108D" w:rsidRDefault="008C108D" w:rsidP="008C108D">
      <w:pPr>
        <w:bidi w:val="0"/>
        <w:spacing w:after="0" w:line="480" w:lineRule="auto"/>
        <w:rPr>
          <w:rFonts w:ascii="Times New Roman" w:eastAsia="Calibri" w:hAnsi="Times New Roman" w:cs="Times New Roman"/>
          <w:sz w:val="24"/>
          <w:szCs w:val="24"/>
        </w:rPr>
      </w:pPr>
      <w:proofErr w:type="spellStart"/>
      <w:r w:rsidRPr="008C108D">
        <w:rPr>
          <w:rFonts w:ascii="Times New Roman" w:eastAsia="Calibri" w:hAnsi="Times New Roman" w:cs="Times New Roman"/>
          <w:sz w:val="24"/>
          <w:szCs w:val="24"/>
        </w:rPr>
        <w:t>Adeed</w:t>
      </w:r>
      <w:proofErr w:type="spellEnd"/>
      <w:r w:rsidRPr="008C108D">
        <w:rPr>
          <w:rFonts w:ascii="Times New Roman" w:eastAsia="Calibri" w:hAnsi="Times New Roman" w:cs="Times New Roman"/>
          <w:sz w:val="24"/>
          <w:szCs w:val="24"/>
        </w:rPr>
        <w:t xml:space="preserve"> </w:t>
      </w:r>
      <w:proofErr w:type="spellStart"/>
      <w:r w:rsidRPr="008C108D">
        <w:rPr>
          <w:rFonts w:ascii="Times New Roman" w:eastAsia="Calibri" w:hAnsi="Times New Roman" w:cs="Times New Roman"/>
          <w:sz w:val="24"/>
          <w:szCs w:val="24"/>
        </w:rPr>
        <w:t>Dawisha</w:t>
      </w:r>
      <w:proofErr w:type="spellEnd"/>
      <w:r w:rsidRPr="008C108D">
        <w:rPr>
          <w:rFonts w:ascii="Times New Roman" w:eastAsia="Calibri" w:hAnsi="Times New Roman" w:cs="Times New Roman"/>
          <w:sz w:val="24"/>
          <w:szCs w:val="24"/>
        </w:rPr>
        <w:t xml:space="preserve">, Egypt and the Arab World (New York: Wiley, 1976), pp. 9-62. </w:t>
      </w:r>
    </w:p>
    <w:p w:rsidR="008C108D" w:rsidRP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t xml:space="preserve">Fred Halliday, “The Middle East, the Great Powers and the Cold War,” in </w:t>
      </w:r>
      <w:proofErr w:type="spellStart"/>
      <w:r w:rsidRPr="008C108D">
        <w:rPr>
          <w:rFonts w:ascii="Times New Roman" w:eastAsia="Calibri" w:hAnsi="Times New Roman" w:cs="Times New Roman"/>
          <w:sz w:val="24"/>
          <w:szCs w:val="24"/>
        </w:rPr>
        <w:t>Yezid</w:t>
      </w:r>
      <w:proofErr w:type="spellEnd"/>
      <w:r w:rsidRPr="008C108D">
        <w:rPr>
          <w:rFonts w:ascii="Times New Roman" w:eastAsia="Calibri" w:hAnsi="Times New Roman" w:cs="Times New Roman"/>
          <w:sz w:val="24"/>
          <w:szCs w:val="24"/>
        </w:rPr>
        <w:t xml:space="preserve"> </w:t>
      </w:r>
      <w:proofErr w:type="spellStart"/>
      <w:r w:rsidRPr="008C108D">
        <w:rPr>
          <w:rFonts w:ascii="Times New Roman" w:eastAsia="Calibri" w:hAnsi="Times New Roman" w:cs="Times New Roman"/>
          <w:sz w:val="24"/>
          <w:szCs w:val="24"/>
        </w:rPr>
        <w:t>Sayigh</w:t>
      </w:r>
      <w:proofErr w:type="spellEnd"/>
      <w:r w:rsidRPr="008C108D">
        <w:rPr>
          <w:rFonts w:ascii="Times New Roman" w:eastAsia="Calibri" w:hAnsi="Times New Roman" w:cs="Times New Roman"/>
          <w:sz w:val="24"/>
          <w:szCs w:val="24"/>
        </w:rPr>
        <w:t xml:space="preserve"> and </w:t>
      </w:r>
      <w:proofErr w:type="spellStart"/>
      <w:r w:rsidRPr="008C108D">
        <w:rPr>
          <w:rFonts w:ascii="Times New Roman" w:eastAsia="Calibri" w:hAnsi="Times New Roman" w:cs="Times New Roman"/>
          <w:sz w:val="24"/>
          <w:szCs w:val="24"/>
        </w:rPr>
        <w:t>Avi</w:t>
      </w:r>
      <w:proofErr w:type="spellEnd"/>
      <w:r w:rsidRPr="008C108D">
        <w:rPr>
          <w:rFonts w:ascii="Times New Roman" w:eastAsia="Calibri" w:hAnsi="Times New Roman" w:cs="Times New Roman"/>
          <w:sz w:val="24"/>
          <w:szCs w:val="24"/>
        </w:rPr>
        <w:t xml:space="preserve"> </w:t>
      </w:r>
      <w:proofErr w:type="spellStart"/>
      <w:r w:rsidRPr="008C108D">
        <w:rPr>
          <w:rFonts w:ascii="Times New Roman" w:eastAsia="Calibri" w:hAnsi="Times New Roman" w:cs="Times New Roman"/>
          <w:sz w:val="24"/>
          <w:szCs w:val="24"/>
        </w:rPr>
        <w:t>Shlaim</w:t>
      </w:r>
      <w:proofErr w:type="spellEnd"/>
      <w:r w:rsidRPr="008C108D">
        <w:rPr>
          <w:rFonts w:ascii="Times New Roman" w:eastAsia="Calibri" w:hAnsi="Times New Roman" w:cs="Times New Roman"/>
          <w:sz w:val="24"/>
          <w:szCs w:val="24"/>
        </w:rPr>
        <w:t xml:space="preserve"> (eds.) </w:t>
      </w:r>
      <w:proofErr w:type="gramStart"/>
      <w:r w:rsidRPr="008C108D">
        <w:rPr>
          <w:rFonts w:ascii="Times New Roman" w:eastAsia="Calibri" w:hAnsi="Times New Roman" w:cs="Times New Roman"/>
          <w:i/>
          <w:sz w:val="24"/>
          <w:szCs w:val="24"/>
        </w:rPr>
        <w:t>The</w:t>
      </w:r>
      <w:proofErr w:type="gramEnd"/>
      <w:r w:rsidRPr="008C108D">
        <w:rPr>
          <w:rFonts w:ascii="Times New Roman" w:eastAsia="Calibri" w:hAnsi="Times New Roman" w:cs="Times New Roman"/>
          <w:i/>
          <w:sz w:val="24"/>
          <w:szCs w:val="24"/>
        </w:rPr>
        <w:t xml:space="preserve"> Cold War and the Middle East</w:t>
      </w:r>
      <w:r w:rsidRPr="008C108D">
        <w:rPr>
          <w:rFonts w:ascii="Times New Roman" w:eastAsia="Calibri" w:hAnsi="Times New Roman" w:cs="Times New Roman"/>
          <w:sz w:val="24"/>
          <w:szCs w:val="24"/>
        </w:rPr>
        <w:t xml:space="preserve"> (New York; Oxford University Press, 1997), pp. 6-26. </w:t>
      </w:r>
    </w:p>
    <w:p w:rsidR="008C108D" w:rsidRPr="008C108D" w:rsidRDefault="008C108D" w:rsidP="008C108D">
      <w:pPr>
        <w:bidi w:val="0"/>
        <w:spacing w:after="0" w:line="480" w:lineRule="auto"/>
        <w:rPr>
          <w:rFonts w:ascii="Times New Roman" w:eastAsia="Calibri" w:hAnsi="Times New Roman" w:cs="Times New Roman"/>
          <w:sz w:val="24"/>
          <w:szCs w:val="24"/>
        </w:rPr>
      </w:pPr>
      <w:proofErr w:type="spellStart"/>
      <w:r w:rsidRPr="008C108D">
        <w:rPr>
          <w:rFonts w:ascii="Times New Roman" w:eastAsia="Calibri" w:hAnsi="Times New Roman" w:cs="Times New Roman"/>
          <w:sz w:val="24"/>
          <w:szCs w:val="24"/>
        </w:rPr>
        <w:t>Elie</w:t>
      </w:r>
      <w:proofErr w:type="spellEnd"/>
      <w:r w:rsidRPr="008C108D">
        <w:rPr>
          <w:rFonts w:ascii="Times New Roman" w:eastAsia="Calibri" w:hAnsi="Times New Roman" w:cs="Times New Roman"/>
          <w:sz w:val="24"/>
          <w:szCs w:val="24"/>
        </w:rPr>
        <w:t xml:space="preserve"> </w:t>
      </w:r>
      <w:proofErr w:type="spellStart"/>
      <w:r w:rsidRPr="008C108D">
        <w:rPr>
          <w:rFonts w:ascii="Times New Roman" w:eastAsia="Calibri" w:hAnsi="Times New Roman" w:cs="Times New Roman"/>
          <w:sz w:val="24"/>
          <w:szCs w:val="24"/>
        </w:rPr>
        <w:t>Podeh</w:t>
      </w:r>
      <w:proofErr w:type="spellEnd"/>
      <w:r w:rsidRPr="008C108D">
        <w:rPr>
          <w:rFonts w:ascii="Times New Roman" w:eastAsia="Calibri" w:hAnsi="Times New Roman" w:cs="Times New Roman"/>
          <w:sz w:val="24"/>
          <w:szCs w:val="24"/>
        </w:rPr>
        <w:t xml:space="preserve"> and Onn </w:t>
      </w:r>
      <w:proofErr w:type="spellStart"/>
      <w:r w:rsidRPr="008C108D">
        <w:rPr>
          <w:rFonts w:ascii="Times New Roman" w:eastAsia="Calibri" w:hAnsi="Times New Roman" w:cs="Times New Roman"/>
          <w:sz w:val="24"/>
          <w:szCs w:val="24"/>
        </w:rPr>
        <w:t>Winckler</w:t>
      </w:r>
      <w:proofErr w:type="spellEnd"/>
      <w:r w:rsidRPr="008C108D">
        <w:rPr>
          <w:rFonts w:ascii="Times New Roman" w:eastAsia="Calibri" w:hAnsi="Times New Roman" w:cs="Times New Roman"/>
          <w:sz w:val="24"/>
          <w:szCs w:val="24"/>
        </w:rPr>
        <w:t xml:space="preserve"> (eds.) </w:t>
      </w:r>
      <w:r w:rsidRPr="008C108D">
        <w:rPr>
          <w:rFonts w:ascii="Times New Roman" w:eastAsia="Calibri" w:hAnsi="Times New Roman" w:cs="Times New Roman"/>
          <w:i/>
          <w:iCs/>
          <w:sz w:val="24"/>
          <w:szCs w:val="24"/>
        </w:rPr>
        <w:t xml:space="preserve">Rethinking Nasserism: Revolution and Historical Memory in Modern Egypt </w:t>
      </w:r>
      <w:r w:rsidRPr="008C108D">
        <w:rPr>
          <w:rFonts w:ascii="Times New Roman" w:eastAsia="Calibri" w:hAnsi="Times New Roman" w:cs="Times New Roman"/>
          <w:sz w:val="24"/>
          <w:szCs w:val="24"/>
        </w:rPr>
        <w:t xml:space="preserve">(Gainesville: University Press of Florida, 2004), </w:t>
      </w:r>
      <w:proofErr w:type="spellStart"/>
      <w:r w:rsidRPr="008C108D">
        <w:rPr>
          <w:rFonts w:ascii="Times New Roman" w:eastAsia="Calibri" w:hAnsi="Times New Roman" w:cs="Times New Roman"/>
          <w:sz w:val="24"/>
          <w:szCs w:val="24"/>
        </w:rPr>
        <w:t>ch.</w:t>
      </w:r>
      <w:proofErr w:type="spellEnd"/>
      <w:r w:rsidRPr="008C108D">
        <w:rPr>
          <w:rFonts w:ascii="Times New Roman" w:eastAsia="Calibri" w:hAnsi="Times New Roman" w:cs="Times New Roman"/>
          <w:sz w:val="24"/>
          <w:szCs w:val="24"/>
        </w:rPr>
        <w:t xml:space="preserve"> 7-9. </w:t>
      </w:r>
    </w:p>
    <w:p w:rsidR="008C108D" w:rsidRDefault="008C108D" w:rsidP="008C108D">
      <w:pPr>
        <w:bidi w:val="0"/>
        <w:spacing w:after="0" w:line="480" w:lineRule="auto"/>
        <w:rPr>
          <w:rFonts w:ascii="Times New Roman" w:eastAsia="Calibri" w:hAnsi="Times New Roman" w:cs="Times New Roman"/>
          <w:sz w:val="24"/>
          <w:szCs w:val="24"/>
        </w:rPr>
      </w:pPr>
      <w:r w:rsidRPr="008C108D">
        <w:rPr>
          <w:rFonts w:ascii="Times New Roman" w:eastAsia="Calibri" w:hAnsi="Times New Roman" w:cs="Times New Roman"/>
          <w:sz w:val="24"/>
          <w:szCs w:val="24"/>
        </w:rPr>
        <w:lastRenderedPageBreak/>
        <w:t xml:space="preserve">Michael N. Barnett and Jack S. Levy, “Domestic Sources of Alliances and Alignment: The Case of Egypt, </w:t>
      </w:r>
      <w:r w:rsidRPr="008C108D">
        <w:rPr>
          <w:rFonts w:ascii="Times New Roman" w:eastAsia="Calibri" w:hAnsi="Times New Roman" w:cs="Times New Roman" w:hint="eastAsia"/>
          <w:sz w:val="24"/>
          <w:szCs w:val="24"/>
        </w:rPr>
        <w:t> </w:t>
      </w:r>
      <w:r w:rsidRPr="008C108D">
        <w:rPr>
          <w:rFonts w:ascii="Times New Roman" w:eastAsia="Calibri" w:hAnsi="Times New Roman" w:cs="Times New Roman"/>
          <w:sz w:val="24"/>
          <w:szCs w:val="24"/>
        </w:rPr>
        <w:t>1962-73,” International Organization Vol. 45, No. 3 (Summer 1991), 369-395.</w:t>
      </w:r>
    </w:p>
    <w:p w:rsidR="004F31C7" w:rsidRDefault="00F37393" w:rsidP="00F37393">
      <w:pPr>
        <w:pStyle w:val="ListParagraph"/>
        <w:numPr>
          <w:ilvl w:val="0"/>
          <w:numId w:val="1"/>
        </w:numPr>
        <w:spacing w:after="0" w:line="480" w:lineRule="auto"/>
        <w:rPr>
          <w:rFonts w:asciiTheme="majorBidi" w:hAnsiTheme="majorBidi" w:cstheme="majorBidi"/>
          <w:sz w:val="24"/>
          <w:szCs w:val="24"/>
          <w:rtl/>
        </w:rPr>
      </w:pPr>
      <w:r w:rsidRPr="00F37393">
        <w:rPr>
          <w:rFonts w:asciiTheme="majorBidi" w:hAnsiTheme="majorBidi" w:cstheme="majorBidi" w:hint="cs"/>
          <w:sz w:val="24"/>
          <w:szCs w:val="24"/>
          <w:rtl/>
        </w:rPr>
        <w:t>שנות השישים והתהליכים שהובילו לפרוץ מלחמת ששת הימים</w:t>
      </w:r>
    </w:p>
    <w:p w:rsidR="004F31C7" w:rsidRDefault="004F31C7" w:rsidP="004F31C7">
      <w:pPr>
        <w:bidi w:val="0"/>
        <w:spacing w:after="0" w:line="480" w:lineRule="auto"/>
        <w:rPr>
          <w:rFonts w:asciiTheme="majorBidi" w:hAnsiTheme="majorBidi" w:cstheme="majorBidi"/>
          <w:sz w:val="24"/>
          <w:szCs w:val="24"/>
        </w:rPr>
      </w:pP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 xml:space="preserve">* Janice G. Stein, “Inadvertent War and Miscalculated Escalation: The Arab Israeli War of 1967,” in Alexander </w:t>
      </w:r>
      <w:proofErr w:type="spellStart"/>
      <w:r w:rsidRPr="00F37393">
        <w:rPr>
          <w:rFonts w:ascii="Times New Roman" w:eastAsia="Calibri" w:hAnsi="Times New Roman" w:cs="Times New Roman"/>
          <w:sz w:val="24"/>
          <w:szCs w:val="24"/>
        </w:rPr>
        <w:t>Geroge</w:t>
      </w:r>
      <w:proofErr w:type="spellEnd"/>
      <w:r w:rsidRPr="00F37393">
        <w:rPr>
          <w:rFonts w:ascii="Times New Roman" w:eastAsia="Calibri" w:hAnsi="Times New Roman" w:cs="Times New Roman"/>
          <w:sz w:val="24"/>
          <w:szCs w:val="24"/>
        </w:rPr>
        <w:t xml:space="preserve"> (ed.) </w:t>
      </w:r>
      <w:r w:rsidRPr="00F37393">
        <w:rPr>
          <w:rFonts w:ascii="Times New Roman" w:eastAsia="Calibri" w:hAnsi="Times New Roman" w:cs="Times New Roman"/>
          <w:i/>
          <w:iCs/>
          <w:sz w:val="24"/>
          <w:szCs w:val="24"/>
        </w:rPr>
        <w:t>Avoiding War: Problems of Crisis Management</w:t>
      </w:r>
      <w:r w:rsidRPr="00F37393">
        <w:rPr>
          <w:rFonts w:ascii="Times New Roman" w:eastAsia="Calibri" w:hAnsi="Times New Roman" w:cs="Times New Roman"/>
          <w:sz w:val="24"/>
          <w:szCs w:val="24"/>
        </w:rPr>
        <w:t xml:space="preserve"> (Boulder, Colo.: Westview Press, 1991). </w:t>
      </w:r>
    </w:p>
    <w:p w:rsidR="00F37393" w:rsidRPr="00F37393" w:rsidRDefault="00F37393" w:rsidP="00F37393">
      <w:pPr>
        <w:bidi w:val="0"/>
        <w:spacing w:after="0" w:line="480" w:lineRule="auto"/>
        <w:rPr>
          <w:rFonts w:ascii="TimesNewRoman" w:eastAsia="Calibri" w:hAnsi="TimesNewRoman" w:cs="TimesNewRoman"/>
          <w:sz w:val="24"/>
          <w:szCs w:val="24"/>
        </w:rPr>
      </w:pPr>
      <w:r w:rsidRPr="00F37393">
        <w:rPr>
          <w:rFonts w:ascii="TimesNewRoman" w:eastAsia="Calibri" w:hAnsi="TimesNewRoman" w:cs="TimesNewRoman"/>
          <w:sz w:val="24"/>
          <w:szCs w:val="24"/>
        </w:rPr>
        <w:t xml:space="preserve">*Michael Oren, </w:t>
      </w:r>
      <w:r w:rsidRPr="00F37393">
        <w:rPr>
          <w:rFonts w:ascii="TimesNewRoman,Italic" w:eastAsia="Calibri" w:hAnsi="TimesNewRoman,Italic" w:cs="TimesNewRoman,Italic"/>
          <w:i/>
          <w:iCs/>
          <w:sz w:val="24"/>
          <w:szCs w:val="24"/>
        </w:rPr>
        <w:t>Six Days of War</w:t>
      </w:r>
      <w:r w:rsidRPr="00F37393">
        <w:rPr>
          <w:rFonts w:ascii="TimesNewRoman" w:eastAsia="Calibri" w:hAnsi="TimesNewRoman" w:cs="TimesNewRoman"/>
          <w:sz w:val="24"/>
          <w:szCs w:val="24"/>
        </w:rPr>
        <w:t xml:space="preserve"> (Oxford University Press, 2002), pp. 33-169.</w:t>
      </w: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w:t>
      </w:r>
      <w:proofErr w:type="spellStart"/>
      <w:r w:rsidRPr="00F37393">
        <w:rPr>
          <w:rFonts w:ascii="Times New Roman" w:eastAsia="Calibri" w:hAnsi="Times New Roman" w:cs="Times New Roman"/>
          <w:sz w:val="24"/>
          <w:szCs w:val="24"/>
        </w:rPr>
        <w:t>Avner</w:t>
      </w:r>
      <w:proofErr w:type="spellEnd"/>
      <w:r w:rsidRPr="00F37393">
        <w:rPr>
          <w:rFonts w:ascii="Times New Roman" w:eastAsia="Calibri" w:hAnsi="Times New Roman" w:cs="Times New Roman"/>
          <w:sz w:val="24"/>
          <w:szCs w:val="24"/>
        </w:rPr>
        <w:t xml:space="preserve"> </w:t>
      </w:r>
      <w:proofErr w:type="spellStart"/>
      <w:r w:rsidRPr="00F37393">
        <w:rPr>
          <w:rFonts w:ascii="Times New Roman" w:eastAsia="Calibri" w:hAnsi="Times New Roman" w:cs="Times New Roman"/>
          <w:sz w:val="24"/>
          <w:szCs w:val="24"/>
        </w:rPr>
        <w:t>Yaniv</w:t>
      </w:r>
      <w:proofErr w:type="spellEnd"/>
      <w:r w:rsidRPr="00F37393">
        <w:rPr>
          <w:rFonts w:ascii="Times New Roman" w:eastAsia="Calibri" w:hAnsi="Times New Roman" w:cs="Times New Roman"/>
        </w:rPr>
        <w:t xml:space="preserve">, </w:t>
      </w:r>
      <w:r w:rsidRPr="00F37393">
        <w:rPr>
          <w:rFonts w:ascii="Times New Roman" w:eastAsia="Calibri" w:hAnsi="Times New Roman" w:cs="Times New Roman"/>
          <w:i/>
        </w:rPr>
        <w:t>Deterrence without the Bomb</w:t>
      </w:r>
      <w:r w:rsidRPr="00F37393">
        <w:rPr>
          <w:rFonts w:ascii="Times New Roman" w:eastAsia="Calibri" w:hAnsi="Times New Roman" w:cs="Times New Roman"/>
        </w:rPr>
        <w:t xml:space="preserve"> (Lexington, Mass.: Lexington Books, 1987), pp. 110-116.</w:t>
      </w:r>
    </w:p>
    <w:p w:rsidR="00F37393" w:rsidRPr="00F37393" w:rsidRDefault="00F37393" w:rsidP="00F37393">
      <w:pPr>
        <w:bidi w:val="0"/>
        <w:spacing w:after="0" w:line="480" w:lineRule="auto"/>
        <w:rPr>
          <w:rFonts w:ascii="Times New Roman" w:eastAsia="Calibri" w:hAnsi="Times New Roman" w:cs="Times New Roman"/>
        </w:rPr>
      </w:pPr>
      <w:r w:rsidRPr="00F37393">
        <w:rPr>
          <w:rFonts w:ascii="Times New Roman" w:eastAsia="Calibri" w:hAnsi="Times New Roman" w:cs="Times New Roman"/>
          <w:sz w:val="24"/>
          <w:szCs w:val="24"/>
        </w:rPr>
        <w:t>*</w:t>
      </w:r>
      <w:r w:rsidRPr="00F37393">
        <w:rPr>
          <w:rFonts w:ascii="Times New Roman" w:eastAsia="Calibri" w:hAnsi="Times New Roman" w:cs="Times New Roman"/>
        </w:rPr>
        <w:t xml:space="preserve">Ami </w:t>
      </w:r>
      <w:proofErr w:type="spellStart"/>
      <w:r w:rsidRPr="00F37393">
        <w:rPr>
          <w:rFonts w:ascii="Times New Roman" w:eastAsia="Calibri" w:hAnsi="Times New Roman" w:cs="Times New Roman"/>
        </w:rPr>
        <w:t>Gluska</w:t>
      </w:r>
      <w:proofErr w:type="spellEnd"/>
      <w:r w:rsidRPr="00F37393">
        <w:rPr>
          <w:rFonts w:ascii="Times New Roman" w:eastAsia="Calibri" w:hAnsi="Times New Roman" w:cs="Times New Roman"/>
        </w:rPr>
        <w:t xml:space="preserve">, </w:t>
      </w:r>
      <w:r w:rsidRPr="00F37393">
        <w:rPr>
          <w:rFonts w:ascii="Times New Roman" w:eastAsia="Calibri" w:hAnsi="Times New Roman" w:cs="Times New Roman"/>
          <w:i/>
          <w:iCs/>
        </w:rPr>
        <w:t xml:space="preserve">The Israeli Military and the Origins of the 1967 </w:t>
      </w:r>
      <w:proofErr w:type="gramStart"/>
      <w:r w:rsidRPr="00F37393">
        <w:rPr>
          <w:rFonts w:ascii="Times New Roman" w:eastAsia="Calibri" w:hAnsi="Times New Roman" w:cs="Times New Roman"/>
          <w:i/>
          <w:iCs/>
        </w:rPr>
        <w:t xml:space="preserve">War </w:t>
      </w:r>
      <w:r w:rsidRPr="00F37393">
        <w:rPr>
          <w:rFonts w:ascii="Times New Roman" w:eastAsia="Calibri" w:hAnsi="Times New Roman" w:cs="Times New Roman"/>
        </w:rPr>
        <w:t xml:space="preserve"> (</w:t>
      </w:r>
      <w:proofErr w:type="gramEnd"/>
      <w:r w:rsidRPr="00F37393">
        <w:rPr>
          <w:rFonts w:ascii="Times New Roman" w:eastAsia="Calibri" w:hAnsi="Times New Roman" w:cs="Times New Roman"/>
        </w:rPr>
        <w:t>London: Routledge, 2007),  pp. 74-120, 160-179.</w:t>
      </w:r>
    </w:p>
    <w:p w:rsidR="00F37393" w:rsidRPr="00F37393" w:rsidRDefault="00F37393" w:rsidP="00F37393">
      <w:pPr>
        <w:bidi w:val="0"/>
        <w:spacing w:after="0" w:line="480" w:lineRule="auto"/>
        <w:rPr>
          <w:rFonts w:ascii="Times New Roman" w:eastAsia="Calibri" w:hAnsi="Times New Roman" w:cs="Times New Roman"/>
        </w:rPr>
      </w:pPr>
      <w:r w:rsidRPr="00F37393">
        <w:rPr>
          <w:rFonts w:ascii="Calibri" w:eastAsia="Calibri" w:hAnsi="Calibri" w:cs="Arial"/>
        </w:rPr>
        <w:t xml:space="preserve">* </w:t>
      </w:r>
      <w:r w:rsidRPr="00F37393">
        <w:rPr>
          <w:rFonts w:ascii="Times New Roman" w:eastAsia="Calibri" w:hAnsi="Times New Roman" w:cs="Times New Roman"/>
        </w:rPr>
        <w:t xml:space="preserve">Patrick Seale, </w:t>
      </w:r>
      <w:proofErr w:type="spellStart"/>
      <w:r w:rsidRPr="00F37393">
        <w:rPr>
          <w:rFonts w:ascii="Times New Roman" w:eastAsia="Calibri" w:hAnsi="Times New Roman" w:cs="Times New Roman"/>
          <w:i/>
        </w:rPr>
        <w:t>Asad</w:t>
      </w:r>
      <w:proofErr w:type="spellEnd"/>
      <w:r w:rsidRPr="00F37393">
        <w:rPr>
          <w:rFonts w:ascii="Times New Roman" w:eastAsia="Calibri" w:hAnsi="Times New Roman" w:cs="Times New Roman"/>
          <w:i/>
        </w:rPr>
        <w:t xml:space="preserve"> of Syria: the Struggle for the Middle East</w:t>
      </w:r>
      <w:r w:rsidRPr="00F37393">
        <w:rPr>
          <w:rFonts w:ascii="Times New Roman" w:eastAsia="Calibri" w:hAnsi="Times New Roman" w:cs="Times New Roman"/>
        </w:rPr>
        <w:t xml:space="preserve"> (Berkeley: University of California Press, 1989), pp. 104-141.</w:t>
      </w: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 xml:space="preserve">*Robert Jervis, “Deterrence Theory Revisited,” </w:t>
      </w:r>
      <w:r w:rsidRPr="00F37393">
        <w:rPr>
          <w:rFonts w:ascii="Times New Roman" w:eastAsia="Calibri" w:hAnsi="Times New Roman" w:cs="Times New Roman"/>
          <w:i/>
          <w:iCs/>
          <w:sz w:val="24"/>
          <w:szCs w:val="24"/>
        </w:rPr>
        <w:t>World Politics</w:t>
      </w:r>
      <w:r w:rsidRPr="00F37393">
        <w:rPr>
          <w:rFonts w:ascii="Times New Roman" w:eastAsia="Calibri" w:hAnsi="Times New Roman" w:cs="Times New Roman"/>
          <w:sz w:val="24"/>
          <w:szCs w:val="24"/>
        </w:rPr>
        <w:t>, vol. 31, no.  (1979), pp. 289-324.</w:t>
      </w: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Further readings (more detailed diplomatic and military accounts):</w:t>
      </w: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 xml:space="preserve">Richard Parker, </w:t>
      </w:r>
      <w:proofErr w:type="gramStart"/>
      <w:r w:rsidRPr="00F37393">
        <w:rPr>
          <w:rFonts w:ascii="Times New Roman" w:eastAsia="Calibri" w:hAnsi="Times New Roman" w:cs="Times New Roman"/>
          <w:i/>
          <w:iCs/>
          <w:sz w:val="24"/>
          <w:szCs w:val="24"/>
        </w:rPr>
        <w:t>The</w:t>
      </w:r>
      <w:proofErr w:type="gramEnd"/>
      <w:r w:rsidRPr="00F37393">
        <w:rPr>
          <w:rFonts w:ascii="Times New Roman" w:eastAsia="Calibri" w:hAnsi="Times New Roman" w:cs="Times New Roman"/>
          <w:i/>
          <w:iCs/>
          <w:sz w:val="24"/>
          <w:szCs w:val="24"/>
        </w:rPr>
        <w:t xml:space="preserve"> Politics of Miscalculation in the Middle East</w:t>
      </w:r>
      <w:r w:rsidRPr="00F37393">
        <w:rPr>
          <w:rFonts w:ascii="Times New Roman" w:eastAsia="Calibri" w:hAnsi="Times New Roman" w:cs="Times New Roman"/>
          <w:sz w:val="24"/>
          <w:szCs w:val="24"/>
        </w:rPr>
        <w:t xml:space="preserve"> (Bloomington: Indiana University Press, 1993), pp. 36-122.</w:t>
      </w:r>
    </w:p>
    <w:p w:rsidR="00F37393" w:rsidRPr="00F37393" w:rsidRDefault="00F37393" w:rsidP="00F37393">
      <w:pPr>
        <w:bidi w:val="0"/>
        <w:spacing w:after="0" w:line="480" w:lineRule="auto"/>
        <w:rPr>
          <w:rFonts w:ascii="Times New Roman" w:eastAsia="Calibri" w:hAnsi="Times New Roman" w:cs="Times New Roman"/>
          <w:sz w:val="24"/>
          <w:szCs w:val="24"/>
        </w:rPr>
      </w:pPr>
      <w:r w:rsidRPr="00F37393">
        <w:rPr>
          <w:rFonts w:ascii="Times New Roman" w:eastAsia="Calibri" w:hAnsi="Times New Roman" w:cs="Times New Roman"/>
          <w:sz w:val="24"/>
          <w:szCs w:val="24"/>
        </w:rPr>
        <w:t xml:space="preserve">George </w:t>
      </w:r>
      <w:proofErr w:type="spellStart"/>
      <w:r w:rsidRPr="00F37393">
        <w:rPr>
          <w:rFonts w:ascii="Times New Roman" w:eastAsia="Calibri" w:hAnsi="Times New Roman" w:cs="Times New Roman"/>
          <w:sz w:val="24"/>
          <w:szCs w:val="24"/>
        </w:rPr>
        <w:t>Gawrych</w:t>
      </w:r>
      <w:proofErr w:type="spellEnd"/>
      <w:r w:rsidRPr="00F37393">
        <w:rPr>
          <w:rFonts w:ascii="Times New Roman" w:eastAsia="Calibri" w:hAnsi="Times New Roman" w:cs="Times New Roman"/>
          <w:sz w:val="24"/>
          <w:szCs w:val="24"/>
        </w:rPr>
        <w:t xml:space="preserve">, </w:t>
      </w:r>
      <w:r w:rsidRPr="00F37393">
        <w:rPr>
          <w:rFonts w:ascii="Times New Roman" w:eastAsia="Calibri" w:hAnsi="Times New Roman" w:cs="Times New Roman"/>
          <w:i/>
          <w:iCs/>
          <w:sz w:val="24"/>
          <w:szCs w:val="24"/>
        </w:rPr>
        <w:t>The Albatross of Decisive Victory</w:t>
      </w:r>
      <w:r w:rsidRPr="00F37393">
        <w:rPr>
          <w:rFonts w:ascii="Times New Roman" w:eastAsia="Calibri" w:hAnsi="Times New Roman" w:cs="Times New Roman"/>
          <w:sz w:val="24"/>
          <w:szCs w:val="24"/>
        </w:rPr>
        <w:t xml:space="preserve"> (London: Greenwood press, 2000), pp. 1-38. </w:t>
      </w:r>
    </w:p>
    <w:p w:rsidR="004F31C7" w:rsidRDefault="00F35B0F" w:rsidP="00F35B0F">
      <w:pPr>
        <w:spacing w:after="0" w:line="480" w:lineRule="auto"/>
        <w:rPr>
          <w:rFonts w:asciiTheme="majorBidi" w:hAnsiTheme="majorBidi" w:cstheme="majorBidi"/>
          <w:sz w:val="24"/>
          <w:szCs w:val="24"/>
          <w:rtl/>
        </w:rPr>
      </w:pPr>
      <w:r>
        <w:rPr>
          <w:rFonts w:asciiTheme="majorBidi" w:hAnsiTheme="majorBidi" w:cstheme="majorBidi" w:hint="cs"/>
          <w:sz w:val="24"/>
          <w:szCs w:val="24"/>
          <w:rtl/>
        </w:rPr>
        <w:t>על מלחמת האזרחים בתימן ראו:</w:t>
      </w:r>
    </w:p>
    <w:p w:rsidR="00ED74D8" w:rsidRDefault="00F35B0F" w:rsidP="00ED74D8">
      <w:pPr>
        <w:bidi w:val="0"/>
        <w:spacing w:after="0" w:line="480" w:lineRule="auto"/>
        <w:rPr>
          <w:rFonts w:asciiTheme="majorBidi" w:hAnsiTheme="majorBidi" w:cstheme="majorBidi"/>
          <w:sz w:val="24"/>
          <w:szCs w:val="24"/>
        </w:rPr>
      </w:pPr>
      <w:r>
        <w:rPr>
          <w:rFonts w:asciiTheme="majorBidi" w:hAnsiTheme="majorBidi" w:cstheme="majorBidi"/>
          <w:sz w:val="24"/>
          <w:szCs w:val="24"/>
        </w:rPr>
        <w:t>Jesse Ferris, Nasser’s Gamble (Princeton UP), pp!!!</w:t>
      </w:r>
    </w:p>
    <w:p w:rsidR="00F35B0F" w:rsidRDefault="000324F9" w:rsidP="00F35B0F">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 xml:space="preserve">פרוץ והשלכות מלחמת יום הכיפורים </w:t>
      </w:r>
      <w:r>
        <w:rPr>
          <w:rFonts w:asciiTheme="majorBidi" w:hAnsiTheme="majorBidi" w:cstheme="majorBidi"/>
          <w:sz w:val="24"/>
          <w:szCs w:val="24"/>
          <w:rtl/>
        </w:rPr>
        <w:t>–</w:t>
      </w:r>
      <w:r>
        <w:rPr>
          <w:rFonts w:asciiTheme="majorBidi" w:hAnsiTheme="majorBidi" w:cstheme="majorBidi" w:hint="cs"/>
          <w:sz w:val="24"/>
          <w:szCs w:val="24"/>
          <w:rtl/>
        </w:rPr>
        <w:t xml:space="preserve"> אספקטים תיאורטיים</w:t>
      </w:r>
    </w:p>
    <w:p w:rsidR="000324F9" w:rsidRPr="005752DB" w:rsidRDefault="000324F9" w:rsidP="000324F9">
      <w:pPr>
        <w:bidi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 the failure of Israeli deterrence</w:t>
      </w:r>
    </w:p>
    <w:p w:rsidR="000324F9" w:rsidRDefault="000324F9" w:rsidP="000324F9">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*Janice Gross Stein (1985), “Calculation, Miscalculation, and Conventional Deterrence I: The View from Cairo,” in Robert Jervis, Richard N. </w:t>
      </w:r>
      <w:proofErr w:type="spellStart"/>
      <w:r>
        <w:rPr>
          <w:rFonts w:ascii="TimesNewRoman" w:hAnsi="TimesNewRoman" w:cs="TimesNewRoman"/>
          <w:sz w:val="24"/>
          <w:szCs w:val="24"/>
        </w:rPr>
        <w:t>Lebow</w:t>
      </w:r>
      <w:proofErr w:type="spellEnd"/>
      <w:r>
        <w:rPr>
          <w:rFonts w:ascii="TimesNewRoman" w:hAnsi="TimesNewRoman" w:cs="TimesNewRoman"/>
          <w:sz w:val="24"/>
          <w:szCs w:val="24"/>
        </w:rPr>
        <w:t xml:space="preserve">, and Janice Gross Stein, </w:t>
      </w:r>
      <w:r>
        <w:rPr>
          <w:rFonts w:ascii="TimesNewRoman,Italic" w:hAnsi="TimesNewRoman,Italic" w:cs="TimesNewRoman,Italic"/>
          <w:i/>
          <w:iCs/>
          <w:sz w:val="24"/>
          <w:szCs w:val="24"/>
        </w:rPr>
        <w:t xml:space="preserve">Psychology and Deterrence </w:t>
      </w:r>
      <w:r>
        <w:rPr>
          <w:rFonts w:ascii="TimesNewRoman" w:hAnsi="TimesNewRoman" w:cs="TimesNewRoman"/>
          <w:sz w:val="24"/>
          <w:szCs w:val="24"/>
        </w:rPr>
        <w:t>(Baltimore, MD: Johns Hopkins University Press), pp. 34-59.</w:t>
      </w:r>
    </w:p>
    <w:p w:rsidR="000324F9" w:rsidRDefault="000324F9" w:rsidP="000324F9">
      <w:pPr>
        <w:autoSpaceDE w:val="0"/>
        <w:autoSpaceDN w:val="0"/>
        <w:bidi w:val="0"/>
        <w:adjustRightInd w:val="0"/>
        <w:spacing w:after="0" w:line="240" w:lineRule="auto"/>
        <w:rPr>
          <w:rFonts w:ascii="TimesNewRoman" w:hAnsi="TimesNewRoman" w:cs="TimesNewRoman"/>
          <w:sz w:val="24"/>
          <w:szCs w:val="24"/>
        </w:rPr>
      </w:pPr>
    </w:p>
    <w:p w:rsidR="000324F9" w:rsidRPr="000324F9" w:rsidRDefault="000324F9" w:rsidP="000324F9">
      <w:pPr>
        <w:autoSpaceDE w:val="0"/>
        <w:autoSpaceDN w:val="0"/>
        <w:bidi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*Janice Gross Stein (1985), “Calculation, Miscalculation, and Conventional Deterrence II: The View from Jerusalem,” in </w:t>
      </w:r>
      <w:r>
        <w:rPr>
          <w:rFonts w:ascii="TimesNewRoman,Italic" w:hAnsi="TimesNewRoman,Italic" w:cs="TimesNewRoman,Italic"/>
          <w:i/>
          <w:iCs/>
          <w:sz w:val="24"/>
          <w:szCs w:val="24"/>
        </w:rPr>
        <w:t>Psychology and Deterrence</w:t>
      </w:r>
      <w:r>
        <w:rPr>
          <w:rFonts w:ascii="TimesNewRoman" w:hAnsi="TimesNewRoman" w:cs="TimesNewRoman"/>
          <w:sz w:val="24"/>
          <w:szCs w:val="24"/>
        </w:rPr>
        <w:t>, pp. 60-88.</w:t>
      </w:r>
    </w:p>
    <w:p w:rsidR="000324F9" w:rsidRDefault="000324F9" w:rsidP="000324F9">
      <w:pPr>
        <w:bidi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War termination and the end of the 1973 war </w:t>
      </w:r>
    </w:p>
    <w:p w:rsidR="000324F9" w:rsidRPr="00FD1ABD" w:rsidRDefault="000324F9" w:rsidP="000324F9">
      <w:pPr>
        <w:bidi w:val="0"/>
        <w:spacing w:after="0" w:line="240" w:lineRule="auto"/>
        <w:rPr>
          <w:rFonts w:asciiTheme="majorBidi" w:hAnsiTheme="majorBidi" w:cstheme="majorBidi"/>
          <w:sz w:val="24"/>
          <w:szCs w:val="24"/>
        </w:rPr>
      </w:pPr>
      <w:r w:rsidRPr="00FD1ABD">
        <w:rPr>
          <w:rFonts w:asciiTheme="majorBidi" w:hAnsiTheme="majorBidi" w:cstheme="majorBidi"/>
          <w:sz w:val="24"/>
          <w:szCs w:val="24"/>
        </w:rPr>
        <w:t xml:space="preserve">* </w:t>
      </w:r>
      <w:r w:rsidRPr="00F54BD4">
        <w:rPr>
          <w:rFonts w:asciiTheme="majorBidi" w:hAnsiTheme="majorBidi" w:cstheme="majorBidi"/>
          <w:sz w:val="24"/>
          <w:szCs w:val="24"/>
        </w:rPr>
        <w:t>Janice Gross Stein</w:t>
      </w:r>
      <w:r>
        <w:rPr>
          <w:rFonts w:asciiTheme="majorBidi" w:hAnsiTheme="majorBidi" w:cstheme="majorBidi"/>
          <w:sz w:val="24"/>
          <w:szCs w:val="24"/>
        </w:rPr>
        <w:t>, “</w:t>
      </w:r>
      <w:r w:rsidRPr="00FD1ABD">
        <w:rPr>
          <w:rFonts w:asciiTheme="majorBidi" w:hAnsiTheme="majorBidi" w:cstheme="majorBidi"/>
          <w:sz w:val="24"/>
          <w:szCs w:val="24"/>
        </w:rPr>
        <w:t xml:space="preserve">The Termination of </w:t>
      </w:r>
      <w:r>
        <w:rPr>
          <w:rFonts w:asciiTheme="majorBidi" w:hAnsiTheme="majorBidi" w:cstheme="majorBidi"/>
          <w:sz w:val="24"/>
          <w:szCs w:val="24"/>
        </w:rPr>
        <w:t>the October War: A Reappraisal,”</w:t>
      </w:r>
      <w:r w:rsidRPr="00FD1ABD">
        <w:rPr>
          <w:rFonts w:asciiTheme="majorBidi" w:hAnsiTheme="majorBidi" w:cstheme="majorBidi"/>
          <w:sz w:val="24"/>
          <w:szCs w:val="24"/>
        </w:rPr>
        <w:t xml:space="preserve"> in </w:t>
      </w:r>
      <w:r w:rsidRPr="00FD1ABD">
        <w:rPr>
          <w:rStyle w:val="Emphasis"/>
          <w:rFonts w:asciiTheme="majorBidi" w:hAnsiTheme="majorBidi" w:cstheme="majorBidi"/>
          <w:sz w:val="24"/>
          <w:szCs w:val="24"/>
        </w:rPr>
        <w:t>Nissan Oren</w:t>
      </w:r>
      <w:r w:rsidRPr="00FD1ABD">
        <w:rPr>
          <w:rFonts w:asciiTheme="majorBidi" w:hAnsiTheme="majorBidi" w:cstheme="majorBidi"/>
          <w:sz w:val="24"/>
          <w:szCs w:val="24"/>
        </w:rPr>
        <w:t xml:space="preserve"> (ed.), </w:t>
      </w:r>
      <w:r w:rsidRPr="00865504">
        <w:rPr>
          <w:rFonts w:asciiTheme="majorBidi" w:hAnsiTheme="majorBidi" w:cstheme="majorBidi"/>
          <w:i/>
          <w:iCs/>
          <w:sz w:val="24"/>
          <w:szCs w:val="24"/>
        </w:rPr>
        <w:t>Termination of Wars</w:t>
      </w:r>
      <w:r w:rsidRPr="00FD1ABD">
        <w:rPr>
          <w:rFonts w:asciiTheme="majorBidi" w:hAnsiTheme="majorBidi" w:cstheme="majorBidi"/>
          <w:sz w:val="24"/>
          <w:szCs w:val="24"/>
        </w:rPr>
        <w:t xml:space="preserve"> (Jerusalem: </w:t>
      </w:r>
      <w:proofErr w:type="spellStart"/>
      <w:r w:rsidRPr="00FD1ABD">
        <w:rPr>
          <w:rFonts w:asciiTheme="majorBidi" w:hAnsiTheme="majorBidi" w:cstheme="majorBidi"/>
          <w:sz w:val="24"/>
          <w:szCs w:val="24"/>
        </w:rPr>
        <w:t>Magnes</w:t>
      </w:r>
      <w:proofErr w:type="spellEnd"/>
      <w:r w:rsidRPr="00FD1ABD">
        <w:rPr>
          <w:rFonts w:asciiTheme="majorBidi" w:hAnsiTheme="majorBidi" w:cstheme="majorBidi"/>
          <w:sz w:val="24"/>
          <w:szCs w:val="24"/>
        </w:rPr>
        <w:t xml:space="preserve"> Press)</w:t>
      </w:r>
      <w:r>
        <w:rPr>
          <w:rFonts w:asciiTheme="majorBidi" w:hAnsiTheme="majorBidi" w:cstheme="majorBidi"/>
          <w:sz w:val="24"/>
          <w:szCs w:val="24"/>
        </w:rPr>
        <w:t>.</w:t>
      </w:r>
    </w:p>
    <w:p w:rsidR="000324F9" w:rsidRDefault="000324F9" w:rsidP="000324F9">
      <w:pPr>
        <w:autoSpaceDE w:val="0"/>
        <w:autoSpaceDN w:val="0"/>
        <w:bidi w:val="0"/>
        <w:adjustRightInd w:val="0"/>
        <w:spacing w:after="0" w:line="240" w:lineRule="auto"/>
        <w:rPr>
          <w:rFonts w:asciiTheme="majorBidi" w:hAnsiTheme="majorBidi" w:cstheme="majorBidi"/>
          <w:b/>
          <w:bCs/>
          <w:sz w:val="24"/>
          <w:szCs w:val="24"/>
        </w:rPr>
      </w:pPr>
    </w:p>
    <w:p w:rsidR="000324F9" w:rsidRPr="00FD1ABD" w:rsidRDefault="000324F9" w:rsidP="000324F9">
      <w:pPr>
        <w:autoSpaceDE w:val="0"/>
        <w:autoSpaceDN w:val="0"/>
        <w:bidi w:val="0"/>
        <w:adjustRightInd w:val="0"/>
        <w:spacing w:after="0" w:line="240" w:lineRule="auto"/>
        <w:rPr>
          <w:rFonts w:asciiTheme="majorBidi" w:hAnsiTheme="majorBidi" w:cstheme="majorBidi"/>
          <w:sz w:val="24"/>
          <w:szCs w:val="24"/>
        </w:rPr>
      </w:pPr>
      <w:r w:rsidRPr="00FD1ABD">
        <w:rPr>
          <w:rFonts w:asciiTheme="majorBidi" w:hAnsiTheme="majorBidi" w:cstheme="majorBidi"/>
          <w:b/>
          <w:bCs/>
          <w:sz w:val="24"/>
          <w:szCs w:val="24"/>
        </w:rPr>
        <w:t xml:space="preserve">* </w:t>
      </w:r>
      <w:proofErr w:type="spellStart"/>
      <w:r w:rsidRPr="00743FBA">
        <w:rPr>
          <w:rFonts w:asciiTheme="majorBidi" w:hAnsiTheme="majorBidi" w:cstheme="majorBidi"/>
          <w:sz w:val="24"/>
          <w:szCs w:val="24"/>
        </w:rPr>
        <w:t>Avi</w:t>
      </w:r>
      <w:proofErr w:type="spellEnd"/>
      <w:r w:rsidRPr="00743FBA">
        <w:rPr>
          <w:rFonts w:asciiTheme="majorBidi" w:hAnsiTheme="majorBidi" w:cstheme="majorBidi"/>
          <w:sz w:val="24"/>
          <w:szCs w:val="24"/>
        </w:rPr>
        <w:t xml:space="preserve"> </w:t>
      </w:r>
      <w:proofErr w:type="spellStart"/>
      <w:r w:rsidRPr="00743FBA">
        <w:rPr>
          <w:rFonts w:asciiTheme="majorBidi" w:hAnsiTheme="majorBidi" w:cstheme="majorBidi"/>
          <w:sz w:val="24"/>
          <w:szCs w:val="24"/>
        </w:rPr>
        <w:t>Kober</w:t>
      </w:r>
      <w:proofErr w:type="spellEnd"/>
      <w:r w:rsidRPr="00FD1ABD">
        <w:rPr>
          <w:rFonts w:asciiTheme="majorBidi" w:hAnsiTheme="majorBidi" w:cstheme="majorBidi"/>
          <w:sz w:val="24"/>
          <w:szCs w:val="24"/>
        </w:rPr>
        <w:t xml:space="preserve">. “Great-Power Involvement and Israeli Battlefield Success in the Arab-Israeli Wars, 1948-1982,” </w:t>
      </w:r>
      <w:r w:rsidRPr="00FD1ABD">
        <w:rPr>
          <w:rFonts w:asciiTheme="majorBidi" w:hAnsiTheme="majorBidi" w:cstheme="majorBidi"/>
          <w:i/>
          <w:iCs/>
          <w:sz w:val="24"/>
          <w:szCs w:val="24"/>
        </w:rPr>
        <w:t xml:space="preserve">Journal of Cold War Studies </w:t>
      </w:r>
      <w:r>
        <w:rPr>
          <w:rFonts w:asciiTheme="majorBidi" w:hAnsiTheme="majorBidi" w:cstheme="majorBidi"/>
          <w:sz w:val="24"/>
          <w:szCs w:val="24"/>
        </w:rPr>
        <w:t>8.1 (</w:t>
      </w:r>
      <w:proofErr w:type="gramStart"/>
      <w:r>
        <w:rPr>
          <w:rFonts w:asciiTheme="majorBidi" w:hAnsiTheme="majorBidi" w:cstheme="majorBidi"/>
          <w:sz w:val="24"/>
          <w:szCs w:val="24"/>
        </w:rPr>
        <w:t>Winter</w:t>
      </w:r>
      <w:proofErr w:type="gramEnd"/>
      <w:r>
        <w:rPr>
          <w:rFonts w:asciiTheme="majorBidi" w:hAnsiTheme="majorBidi" w:cstheme="majorBidi"/>
          <w:sz w:val="24"/>
          <w:szCs w:val="24"/>
        </w:rPr>
        <w:t>, 2006), pp.</w:t>
      </w:r>
      <w:r w:rsidRPr="00FD1ABD">
        <w:rPr>
          <w:rFonts w:asciiTheme="majorBidi" w:hAnsiTheme="majorBidi" w:cstheme="majorBidi"/>
          <w:sz w:val="24"/>
          <w:szCs w:val="24"/>
        </w:rPr>
        <w:t xml:space="preserve"> 20-48.</w:t>
      </w:r>
    </w:p>
    <w:p w:rsidR="000324F9" w:rsidRDefault="000324F9" w:rsidP="000324F9">
      <w:pPr>
        <w:autoSpaceDE w:val="0"/>
        <w:autoSpaceDN w:val="0"/>
        <w:bidi w:val="0"/>
        <w:adjustRightInd w:val="0"/>
        <w:spacing w:after="0" w:line="240" w:lineRule="auto"/>
        <w:rPr>
          <w:rFonts w:asciiTheme="majorBidi" w:hAnsiTheme="majorBidi" w:cstheme="majorBidi"/>
          <w:color w:val="0000FF"/>
          <w:sz w:val="24"/>
          <w:szCs w:val="24"/>
        </w:rPr>
      </w:pP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D1ABD">
        <w:rPr>
          <w:rFonts w:asciiTheme="majorBidi" w:hAnsiTheme="majorBidi" w:cstheme="majorBidi"/>
          <w:sz w:val="24"/>
          <w:szCs w:val="24"/>
        </w:rPr>
        <w:t xml:space="preserve">Janice Gross Stein, “War Termination and Conflict Reduction or, How Wars Should End,” </w:t>
      </w:r>
      <w:r w:rsidRPr="00524A7A">
        <w:rPr>
          <w:rFonts w:asciiTheme="majorBidi" w:hAnsiTheme="majorBidi" w:cstheme="majorBidi"/>
          <w:i/>
          <w:iCs/>
          <w:sz w:val="24"/>
          <w:szCs w:val="24"/>
        </w:rPr>
        <w:t>Jerusalem Journal of International Relations</w:t>
      </w:r>
      <w:r w:rsidRPr="00FD1ABD">
        <w:rPr>
          <w:rFonts w:asciiTheme="majorBidi" w:hAnsiTheme="majorBidi" w:cstheme="majorBidi"/>
          <w:sz w:val="24"/>
          <w:szCs w:val="24"/>
        </w:rPr>
        <w:t>, Vol. 1, No. 1 (Fall 1975), pp. 1–27</w:t>
      </w:r>
      <w:r>
        <w:rPr>
          <w:rFonts w:asciiTheme="majorBidi" w:hAnsiTheme="majorBidi" w:cstheme="majorBidi"/>
          <w:sz w:val="24"/>
          <w:szCs w:val="24"/>
        </w:rPr>
        <w:t>.</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p>
    <w:p w:rsidR="000324F9" w:rsidRDefault="000324F9" w:rsidP="000324F9">
      <w:pPr>
        <w:bidi w:val="0"/>
        <w:spacing w:after="0" w:line="480" w:lineRule="auto"/>
        <w:rPr>
          <w:rFonts w:asciiTheme="majorBidi" w:hAnsiTheme="majorBidi" w:cstheme="majorBidi"/>
          <w:sz w:val="24"/>
          <w:szCs w:val="24"/>
        </w:rPr>
      </w:pPr>
      <w:r>
        <w:rPr>
          <w:rFonts w:asciiTheme="majorBidi" w:hAnsiTheme="majorBidi" w:cstheme="majorBidi"/>
          <w:sz w:val="24"/>
          <w:szCs w:val="24"/>
        </w:rPr>
        <w:t xml:space="preserve">C. Regional and global implications of the 1973 war </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*William </w:t>
      </w:r>
      <w:proofErr w:type="spellStart"/>
      <w:r>
        <w:rPr>
          <w:rFonts w:asciiTheme="majorBidi" w:hAnsiTheme="majorBidi" w:cstheme="majorBidi"/>
          <w:sz w:val="24"/>
          <w:szCs w:val="24"/>
        </w:rPr>
        <w:t>Quandt</w:t>
      </w:r>
      <w:proofErr w:type="spellEnd"/>
      <w:r>
        <w:rPr>
          <w:rFonts w:asciiTheme="majorBidi" w:hAnsiTheme="majorBidi" w:cstheme="majorBidi"/>
          <w:sz w:val="24"/>
          <w:szCs w:val="24"/>
        </w:rPr>
        <w:t>,</w:t>
      </w:r>
      <w:r w:rsidRPr="00273250">
        <w:rPr>
          <w:rFonts w:asciiTheme="majorBidi" w:hAnsiTheme="majorBidi" w:cstheme="majorBidi"/>
          <w:sz w:val="24"/>
          <w:szCs w:val="24"/>
        </w:rPr>
        <w:t xml:space="preserve"> </w:t>
      </w:r>
      <w:r w:rsidRPr="00524A7A">
        <w:rPr>
          <w:rFonts w:asciiTheme="majorBidi" w:hAnsiTheme="majorBidi" w:cstheme="majorBidi"/>
          <w:i/>
          <w:iCs/>
          <w:sz w:val="24"/>
          <w:szCs w:val="24"/>
        </w:rPr>
        <w:t>Peace Process: American Diplomacy and the Arab-Israeli Conflict since 1967, 3rd edition</w:t>
      </w:r>
      <w:r>
        <w:rPr>
          <w:rFonts w:asciiTheme="majorBidi" w:hAnsiTheme="majorBidi" w:cstheme="majorBidi"/>
          <w:sz w:val="24"/>
          <w:szCs w:val="24"/>
        </w:rPr>
        <w:t xml:space="preserve"> (Berkeley</w:t>
      </w:r>
      <w:r w:rsidRPr="00273250">
        <w:rPr>
          <w:rFonts w:asciiTheme="majorBidi" w:hAnsiTheme="majorBidi" w:cstheme="majorBidi"/>
          <w:sz w:val="24"/>
          <w:szCs w:val="24"/>
        </w:rPr>
        <w:t>: University of California Press, 2005</w:t>
      </w:r>
      <w:r>
        <w:rPr>
          <w:rFonts w:asciiTheme="majorBidi" w:hAnsiTheme="majorBidi" w:cstheme="majorBidi"/>
          <w:sz w:val="24"/>
          <w:szCs w:val="24"/>
        </w:rPr>
        <w:t xml:space="preserve">), pp. 98-176. </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p>
    <w:p w:rsidR="000324F9" w:rsidRDefault="000324F9" w:rsidP="000324F9">
      <w:p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Quandt</w:t>
      </w:r>
      <w:proofErr w:type="spellEnd"/>
      <w:r>
        <w:rPr>
          <w:rFonts w:ascii="Times New Roman" w:hAnsi="Times New Roman" w:cs="Times New Roman"/>
          <w:sz w:val="24"/>
          <w:szCs w:val="24"/>
        </w:rPr>
        <w:t xml:space="preserve">, </w:t>
      </w:r>
      <w:r w:rsidRPr="00273250">
        <w:rPr>
          <w:rFonts w:ascii="Times New Roman" w:hAnsi="Times New Roman" w:cs="Times New Roman"/>
          <w:i/>
          <w:iCs/>
          <w:sz w:val="24"/>
          <w:szCs w:val="24"/>
        </w:rPr>
        <w:t>Saudi Arabia’s Oil Policy: a Staff Paper</w:t>
      </w:r>
      <w:r>
        <w:rPr>
          <w:rFonts w:ascii="Times New Roman" w:hAnsi="Times New Roman" w:cs="Times New Roman"/>
          <w:sz w:val="24"/>
          <w:szCs w:val="24"/>
        </w:rPr>
        <w:t xml:space="preserve"> (Washington, D.C.</w:t>
      </w:r>
      <w:r w:rsidRPr="00B64E1E">
        <w:rPr>
          <w:rFonts w:ascii="Times New Roman" w:hAnsi="Times New Roman" w:cs="Times New Roman"/>
          <w:sz w:val="24"/>
          <w:szCs w:val="24"/>
        </w:rPr>
        <w:t xml:space="preserve">: Brookings Institution, 1982), pp. 1-42. </w:t>
      </w:r>
    </w:p>
    <w:p w:rsidR="00F35B0F" w:rsidRDefault="00F35B0F" w:rsidP="000324F9">
      <w:pPr>
        <w:bidi w:val="0"/>
        <w:spacing w:after="0" w:line="480" w:lineRule="auto"/>
        <w:rPr>
          <w:rFonts w:asciiTheme="majorBidi" w:hAnsiTheme="majorBidi" w:cstheme="majorBidi"/>
          <w:sz w:val="24"/>
          <w:szCs w:val="24"/>
        </w:rPr>
      </w:pPr>
    </w:p>
    <w:p w:rsidR="00380E04" w:rsidRDefault="000324F9" w:rsidP="000324F9">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עידן הוטניה והפדאיון + מלחמות האזרחים בלבנון ובירדן</w:t>
      </w:r>
      <w:r w:rsidR="001C1756">
        <w:rPr>
          <w:rFonts w:asciiTheme="majorBidi" w:hAnsiTheme="majorBidi" w:cstheme="majorBidi" w:hint="cs"/>
          <w:sz w:val="24"/>
          <w:szCs w:val="24"/>
          <w:rtl/>
        </w:rPr>
        <w:t xml:space="preserve"> (שנות השבעים)</w:t>
      </w:r>
    </w:p>
    <w:p w:rsidR="00ED74D8" w:rsidRDefault="00ED74D8" w:rsidP="00ED74D8">
      <w:pPr>
        <w:bidi w:val="0"/>
        <w:spacing w:after="0" w:line="480" w:lineRule="auto"/>
        <w:rPr>
          <w:rFonts w:asciiTheme="majorBidi" w:hAnsiTheme="majorBidi" w:cstheme="majorBidi"/>
          <w:b/>
          <w:bCs/>
          <w:sz w:val="28"/>
          <w:szCs w:val="28"/>
        </w:rPr>
      </w:pPr>
    </w:p>
    <w:p w:rsidR="000324F9" w:rsidRDefault="000324F9" w:rsidP="000324F9">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המהפכה האיראנית ומלחמת איראן עיראק</w:t>
      </w:r>
      <w:r w:rsidR="001C1756">
        <w:rPr>
          <w:rFonts w:asciiTheme="majorBidi" w:hAnsiTheme="majorBidi" w:cstheme="majorBidi" w:hint="cs"/>
          <w:sz w:val="24"/>
          <w:szCs w:val="24"/>
          <w:rtl/>
        </w:rPr>
        <w:t xml:space="preserve"> (שנות השמונים עד מלחמת המפרץ)</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Lawrence Rubin, Islam in Balance</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Avner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Yaniv</w:t>
      </w:r>
      <w:proofErr w:type="spellEnd"/>
      <w:r>
        <w:rPr>
          <w:rFonts w:asciiTheme="majorBidi" w:hAnsiTheme="majorBidi" w:cstheme="majorBidi"/>
          <w:sz w:val="24"/>
          <w:szCs w:val="24"/>
        </w:rPr>
        <w:t>, Dilemmas of Security</w:t>
      </w: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p>
    <w:p w:rsidR="000324F9" w:rsidRDefault="000324F9" w:rsidP="000324F9">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Joseph </w:t>
      </w:r>
      <w:proofErr w:type="spellStart"/>
      <w:r>
        <w:rPr>
          <w:rFonts w:asciiTheme="majorBidi" w:hAnsiTheme="majorBidi" w:cstheme="majorBidi"/>
          <w:sz w:val="24"/>
          <w:szCs w:val="24"/>
        </w:rPr>
        <w:t>Alpher</w:t>
      </w:r>
      <w:proofErr w:type="spellEnd"/>
    </w:p>
    <w:p w:rsidR="000324F9" w:rsidRDefault="000324F9" w:rsidP="000324F9">
      <w:pPr>
        <w:pStyle w:val="ListParagraph"/>
        <w:rPr>
          <w:rFonts w:asciiTheme="majorBidi" w:hAnsiTheme="majorBidi" w:cstheme="majorBidi" w:hint="cs"/>
          <w:sz w:val="24"/>
          <w:szCs w:val="24"/>
          <w:rtl/>
        </w:rPr>
      </w:pPr>
    </w:p>
    <w:p w:rsidR="000324F9" w:rsidRPr="000324F9" w:rsidRDefault="000324F9" w:rsidP="000324F9">
      <w:pPr>
        <w:pStyle w:val="ListParagraph"/>
        <w:rPr>
          <w:rFonts w:asciiTheme="majorBidi" w:hAnsiTheme="majorBidi" w:cstheme="majorBidi"/>
          <w:sz w:val="24"/>
          <w:szCs w:val="24"/>
          <w:rtl/>
        </w:rPr>
      </w:pPr>
    </w:p>
    <w:p w:rsidR="000324F9" w:rsidRPr="000324F9" w:rsidRDefault="000324F9" w:rsidP="000324F9">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ניסיון האוטוקראטים (וישראל) להתמודד עם עליית האסלאם הפוליטי (שנות התשעים</w:t>
      </w:r>
      <w:r w:rsidR="001C1756">
        <w:rPr>
          <w:rFonts w:asciiTheme="majorBidi" w:hAnsiTheme="majorBidi" w:cstheme="majorBidi" w:hint="cs"/>
          <w:sz w:val="24"/>
          <w:szCs w:val="24"/>
          <w:rtl/>
        </w:rPr>
        <w:t xml:space="preserve"> עד ל-9.11</w:t>
      </w:r>
      <w:r>
        <w:rPr>
          <w:rFonts w:asciiTheme="majorBidi" w:hAnsiTheme="majorBidi" w:cstheme="majorBidi" w:hint="cs"/>
          <w:sz w:val="24"/>
          <w:szCs w:val="24"/>
          <w:rtl/>
        </w:rPr>
        <w:t>)</w:t>
      </w:r>
    </w:p>
    <w:p w:rsidR="000324F9" w:rsidRDefault="000324F9" w:rsidP="001C1756">
      <w:pPr>
        <w:spacing w:after="0" w:line="480" w:lineRule="auto"/>
        <w:rPr>
          <w:rFonts w:asciiTheme="majorBidi" w:hAnsiTheme="majorBidi" w:cstheme="majorBidi"/>
          <w:sz w:val="24"/>
          <w:szCs w:val="24"/>
          <w:rtl/>
        </w:rPr>
      </w:pPr>
      <w:r>
        <w:rPr>
          <w:rFonts w:asciiTheme="majorBidi" w:hAnsiTheme="majorBidi" w:cstheme="majorBidi" w:hint="cs"/>
          <w:sz w:val="24"/>
          <w:szCs w:val="24"/>
          <w:rtl/>
        </w:rPr>
        <w:t>נחמן טל, אויב מבית</w:t>
      </w:r>
    </w:p>
    <w:p w:rsidR="000324F9" w:rsidRDefault="000324F9" w:rsidP="000324F9">
      <w:pPr>
        <w:pStyle w:val="ListParagraph"/>
        <w:numPr>
          <w:ilvl w:val="0"/>
          <w:numId w:val="1"/>
        </w:numPr>
        <w:spacing w:after="0" w:line="48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אל קאעדה, </w:t>
      </w:r>
      <w:r w:rsidR="008C10EE">
        <w:rPr>
          <w:rFonts w:asciiTheme="majorBidi" w:hAnsiTheme="majorBidi" w:cstheme="majorBidi" w:hint="cs"/>
          <w:sz w:val="24"/>
          <w:szCs w:val="24"/>
          <w:rtl/>
        </w:rPr>
        <w:t>המלחמות האמריקניות וה</w:t>
      </w:r>
      <w:r w:rsidR="001C1756">
        <w:rPr>
          <w:rFonts w:asciiTheme="majorBidi" w:hAnsiTheme="majorBidi" w:cstheme="majorBidi" w:hint="cs"/>
          <w:sz w:val="24"/>
          <w:szCs w:val="24"/>
          <w:rtl/>
        </w:rPr>
        <w:t>פתחות ה</w:t>
      </w:r>
      <w:r w:rsidR="008C10EE">
        <w:rPr>
          <w:rFonts w:asciiTheme="majorBidi" w:hAnsiTheme="majorBidi" w:cstheme="majorBidi" w:hint="cs"/>
          <w:sz w:val="24"/>
          <w:szCs w:val="24"/>
          <w:rtl/>
        </w:rPr>
        <w:t>סהר השיעי</w:t>
      </w:r>
      <w:r w:rsidR="001C1756">
        <w:rPr>
          <w:rFonts w:asciiTheme="majorBidi" w:hAnsiTheme="majorBidi" w:cstheme="majorBidi" w:hint="cs"/>
          <w:sz w:val="24"/>
          <w:szCs w:val="24"/>
          <w:rtl/>
        </w:rPr>
        <w:t xml:space="preserve"> (שנות האלפיים)</w:t>
      </w:r>
    </w:p>
    <w:p w:rsidR="001C1756" w:rsidRDefault="001C1756" w:rsidP="001C1756">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Vali Nasr,  </w:t>
      </w:r>
    </w:p>
    <w:p w:rsidR="000324F9" w:rsidRDefault="001C1756" w:rsidP="001C1756">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0324F9" w:rsidRDefault="008C10EE" w:rsidP="008C10EE">
      <w:pPr>
        <w:pStyle w:val="ListParagraph"/>
        <w:numPr>
          <w:ilvl w:val="0"/>
          <w:numId w:val="1"/>
        </w:numPr>
        <w:spacing w:after="0" w:line="480" w:lineRule="auto"/>
        <w:rPr>
          <w:rFonts w:asciiTheme="majorBidi" w:hAnsiTheme="majorBidi" w:cstheme="majorBidi"/>
          <w:sz w:val="24"/>
          <w:szCs w:val="24"/>
          <w:rtl/>
        </w:rPr>
      </w:pPr>
      <w:r>
        <w:rPr>
          <w:rFonts w:asciiTheme="majorBidi" w:hAnsiTheme="majorBidi" w:cstheme="majorBidi" w:hint="cs"/>
          <w:sz w:val="24"/>
          <w:szCs w:val="24"/>
          <w:rtl/>
        </w:rPr>
        <w:t>האביב הערבי והמלחמה הקרה המחודשת והיחסים הישראלים עם תורכיה וסעודיה (התפתחויות סביב עליית איראן בעידן אובמה)</w:t>
      </w:r>
    </w:p>
    <w:p w:rsidR="00ED79EB" w:rsidRDefault="00ED79EB" w:rsidP="00ED79EB">
      <w:pPr>
        <w:bidi w:val="0"/>
        <w:spacing w:after="0" w:line="480" w:lineRule="auto"/>
        <w:rPr>
          <w:rFonts w:asciiTheme="majorBidi" w:hAnsiTheme="majorBidi" w:cstheme="majorBidi"/>
          <w:b/>
          <w:bCs/>
          <w:sz w:val="24"/>
          <w:szCs w:val="24"/>
        </w:rPr>
      </w:pPr>
    </w:p>
    <w:p w:rsidR="008C10EE" w:rsidRDefault="008C10EE" w:rsidP="008C10EE">
      <w:pPr>
        <w:pStyle w:val="ListParagraph"/>
        <w:numPr>
          <w:ilvl w:val="0"/>
          <w:numId w:val="1"/>
        </w:numPr>
        <w:spacing w:after="0" w:line="480" w:lineRule="auto"/>
        <w:rPr>
          <w:rFonts w:asciiTheme="majorBidi" w:hAnsiTheme="majorBidi" w:cstheme="majorBidi" w:hint="cs"/>
          <w:sz w:val="24"/>
          <w:szCs w:val="24"/>
        </w:rPr>
      </w:pPr>
      <w:r>
        <w:rPr>
          <w:rFonts w:asciiTheme="majorBidi" w:hAnsiTheme="majorBidi" w:cstheme="majorBidi" w:hint="cs"/>
          <w:sz w:val="24"/>
          <w:szCs w:val="24"/>
          <w:rtl/>
        </w:rPr>
        <w:t>הסכסוך הישראלי פלסטיני והמלחמות הקטנות של ישראל</w:t>
      </w:r>
    </w:p>
    <w:p w:rsidR="001C1756" w:rsidRDefault="001C1756" w:rsidP="001C1756">
      <w:pPr>
        <w:pStyle w:val="ListParagraph"/>
        <w:rPr>
          <w:rFonts w:asciiTheme="majorBidi" w:hAnsiTheme="majorBidi" w:cstheme="majorBidi" w:hint="cs"/>
          <w:sz w:val="24"/>
          <w:szCs w:val="24"/>
          <w:rtl/>
        </w:rPr>
      </w:pPr>
      <w:r>
        <w:rPr>
          <w:rFonts w:asciiTheme="majorBidi" w:hAnsiTheme="majorBidi" w:cstheme="majorBidi" w:hint="cs"/>
          <w:sz w:val="24"/>
          <w:szCs w:val="24"/>
          <w:rtl/>
        </w:rPr>
        <w:t>שלומי אלדר, זמן חמאס</w:t>
      </w:r>
    </w:p>
    <w:p w:rsidR="001C1756" w:rsidRPr="001C1756" w:rsidRDefault="001C1756" w:rsidP="001C1756">
      <w:pPr>
        <w:pStyle w:val="ListParagraph"/>
        <w:rPr>
          <w:rFonts w:asciiTheme="majorBidi" w:hAnsiTheme="majorBidi" w:cstheme="majorBidi" w:hint="cs"/>
          <w:sz w:val="24"/>
          <w:szCs w:val="24"/>
          <w:rtl/>
        </w:rPr>
      </w:pPr>
    </w:p>
    <w:p w:rsidR="001C1756" w:rsidRDefault="001C1756" w:rsidP="008C10EE">
      <w:pPr>
        <w:pStyle w:val="ListParagraph"/>
        <w:numPr>
          <w:ilvl w:val="0"/>
          <w:numId w:val="1"/>
        </w:numPr>
        <w:spacing w:after="0" w:line="480" w:lineRule="auto"/>
        <w:rPr>
          <w:rFonts w:asciiTheme="majorBidi" w:hAnsiTheme="majorBidi" w:cstheme="majorBidi" w:hint="cs"/>
          <w:sz w:val="24"/>
          <w:szCs w:val="24"/>
        </w:rPr>
      </w:pPr>
      <w:r>
        <w:rPr>
          <w:rFonts w:asciiTheme="majorBidi" w:hAnsiTheme="majorBidi" w:cstheme="majorBidi" w:hint="cs"/>
          <w:sz w:val="24"/>
          <w:szCs w:val="24"/>
          <w:rtl/>
        </w:rPr>
        <w:t>אספקטים דתיים וכלכליים בחקר ביחב"ל של המזה"ת</w:t>
      </w:r>
    </w:p>
    <w:p w:rsidR="001C1756" w:rsidRPr="001C1756" w:rsidRDefault="001C1756" w:rsidP="001C1756">
      <w:pPr>
        <w:pStyle w:val="ListParagraph"/>
        <w:rPr>
          <w:rFonts w:asciiTheme="majorBidi" w:hAnsiTheme="majorBidi" w:cstheme="majorBidi" w:hint="cs"/>
          <w:sz w:val="24"/>
          <w:szCs w:val="24"/>
          <w:rtl/>
        </w:rPr>
      </w:pPr>
    </w:p>
    <w:p w:rsidR="001C1756" w:rsidRPr="008C10EE" w:rsidRDefault="001C1756" w:rsidP="008C10EE">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hint="cs"/>
          <w:sz w:val="24"/>
          <w:szCs w:val="24"/>
          <w:rtl/>
        </w:rPr>
        <w:t xml:space="preserve">נשלמת רפראטים ופגישות עם סטודנטים לגבי העבודות </w:t>
      </w:r>
    </w:p>
    <w:p w:rsidR="00ED79EB" w:rsidRPr="00ED74D8" w:rsidRDefault="00ED79EB" w:rsidP="00ED79EB">
      <w:pPr>
        <w:bidi w:val="0"/>
        <w:spacing w:after="0" w:line="480" w:lineRule="auto"/>
        <w:rPr>
          <w:rFonts w:asciiTheme="majorBidi" w:hAnsiTheme="majorBidi" w:cstheme="majorBidi"/>
          <w:sz w:val="24"/>
          <w:szCs w:val="24"/>
        </w:rPr>
      </w:pPr>
    </w:p>
    <w:sectPr w:rsidR="00ED79EB" w:rsidRPr="00ED74D8" w:rsidSect="00C00DB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E4" w:rsidRDefault="00E40FE4" w:rsidP="008C10EE">
      <w:pPr>
        <w:spacing w:after="0" w:line="240" w:lineRule="auto"/>
      </w:pPr>
      <w:r>
        <w:separator/>
      </w:r>
    </w:p>
  </w:endnote>
  <w:endnote w:type="continuationSeparator" w:id="0">
    <w:p w:rsidR="00E40FE4" w:rsidRDefault="00E40FE4" w:rsidP="008C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8723383"/>
      <w:docPartObj>
        <w:docPartGallery w:val="Page Numbers (Bottom of Page)"/>
        <w:docPartUnique/>
      </w:docPartObj>
    </w:sdtPr>
    <w:sdtEndPr/>
    <w:sdtContent>
      <w:p w:rsidR="008C10EE" w:rsidRDefault="008C10EE">
        <w:pPr>
          <w:pStyle w:val="Footer"/>
          <w:jc w:val="center"/>
        </w:pPr>
        <w:r>
          <w:fldChar w:fldCharType="begin"/>
        </w:r>
        <w:r>
          <w:instrText xml:space="preserve"> PAGE   \* MERGEFORMAT </w:instrText>
        </w:r>
        <w:r>
          <w:fldChar w:fldCharType="separate"/>
        </w:r>
        <w:r w:rsidR="001C1756">
          <w:rPr>
            <w:noProof/>
            <w:rtl/>
          </w:rPr>
          <w:t>1</w:t>
        </w:r>
        <w:r>
          <w:rPr>
            <w:noProof/>
          </w:rPr>
          <w:fldChar w:fldCharType="end"/>
        </w:r>
      </w:p>
    </w:sdtContent>
  </w:sdt>
  <w:p w:rsidR="008C10EE" w:rsidRDefault="008C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E4" w:rsidRDefault="00E40FE4" w:rsidP="008C10EE">
      <w:pPr>
        <w:spacing w:after="0" w:line="240" w:lineRule="auto"/>
      </w:pPr>
      <w:r>
        <w:separator/>
      </w:r>
    </w:p>
  </w:footnote>
  <w:footnote w:type="continuationSeparator" w:id="0">
    <w:p w:rsidR="00E40FE4" w:rsidRDefault="00E40FE4" w:rsidP="008C1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9F9"/>
    <w:multiLevelType w:val="hybridMultilevel"/>
    <w:tmpl w:val="29E8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277F0"/>
    <w:multiLevelType w:val="hybridMultilevel"/>
    <w:tmpl w:val="0B3AF622"/>
    <w:lvl w:ilvl="0" w:tplc="4B546A1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377DB"/>
    <w:multiLevelType w:val="hybridMultilevel"/>
    <w:tmpl w:val="29E8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60"/>
    <w:rsid w:val="0003024A"/>
    <w:rsid w:val="000324F9"/>
    <w:rsid w:val="001060E0"/>
    <w:rsid w:val="00141655"/>
    <w:rsid w:val="001C1756"/>
    <w:rsid w:val="001F6979"/>
    <w:rsid w:val="00226E52"/>
    <w:rsid w:val="00263801"/>
    <w:rsid w:val="0032072F"/>
    <w:rsid w:val="00380E04"/>
    <w:rsid w:val="003C1AF5"/>
    <w:rsid w:val="003E4836"/>
    <w:rsid w:val="00427A35"/>
    <w:rsid w:val="00446F7F"/>
    <w:rsid w:val="004F31C7"/>
    <w:rsid w:val="005A15CD"/>
    <w:rsid w:val="005D5D60"/>
    <w:rsid w:val="0060031E"/>
    <w:rsid w:val="006668C8"/>
    <w:rsid w:val="0070493A"/>
    <w:rsid w:val="007E7A08"/>
    <w:rsid w:val="00851A29"/>
    <w:rsid w:val="008A71E7"/>
    <w:rsid w:val="008B3B37"/>
    <w:rsid w:val="008B77EF"/>
    <w:rsid w:val="008C108D"/>
    <w:rsid w:val="008C10EE"/>
    <w:rsid w:val="00936802"/>
    <w:rsid w:val="00961BD4"/>
    <w:rsid w:val="00A35D4A"/>
    <w:rsid w:val="00A82A79"/>
    <w:rsid w:val="00B87EA4"/>
    <w:rsid w:val="00BC7ABA"/>
    <w:rsid w:val="00C00DB7"/>
    <w:rsid w:val="00C3743D"/>
    <w:rsid w:val="00C445DD"/>
    <w:rsid w:val="00C77EDF"/>
    <w:rsid w:val="00CD36BF"/>
    <w:rsid w:val="00CE63AC"/>
    <w:rsid w:val="00CF14F3"/>
    <w:rsid w:val="00D45834"/>
    <w:rsid w:val="00DC2DC7"/>
    <w:rsid w:val="00DE5029"/>
    <w:rsid w:val="00E00FF6"/>
    <w:rsid w:val="00E40FE4"/>
    <w:rsid w:val="00E63211"/>
    <w:rsid w:val="00E66D55"/>
    <w:rsid w:val="00E91077"/>
    <w:rsid w:val="00ED74D8"/>
    <w:rsid w:val="00ED79EB"/>
    <w:rsid w:val="00F12582"/>
    <w:rsid w:val="00F35B0F"/>
    <w:rsid w:val="00F37393"/>
    <w:rsid w:val="00F46F25"/>
    <w:rsid w:val="00FC75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E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E7"/>
    <w:rPr>
      <w:color w:val="0000FF" w:themeColor="hyperlink"/>
      <w:u w:val="single"/>
    </w:rPr>
  </w:style>
  <w:style w:type="paragraph" w:styleId="ListParagraph">
    <w:name w:val="List Paragraph"/>
    <w:basedOn w:val="Normal"/>
    <w:uiPriority w:val="34"/>
    <w:qFormat/>
    <w:rsid w:val="00DC2DC7"/>
    <w:pPr>
      <w:ind w:left="720"/>
      <w:contextualSpacing/>
    </w:pPr>
  </w:style>
  <w:style w:type="character" w:customStyle="1" w:styleId="Heading1Char">
    <w:name w:val="Heading 1 Char"/>
    <w:basedOn w:val="DefaultParagraphFont"/>
    <w:link w:val="Heading1"/>
    <w:uiPriority w:val="9"/>
    <w:rsid w:val="00DE502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324F9"/>
    <w:rPr>
      <w:i/>
      <w:iCs/>
    </w:rPr>
  </w:style>
  <w:style w:type="paragraph" w:styleId="Header">
    <w:name w:val="header"/>
    <w:basedOn w:val="Normal"/>
    <w:link w:val="HeaderChar"/>
    <w:uiPriority w:val="99"/>
    <w:unhideWhenUsed/>
    <w:rsid w:val="008C1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0EE"/>
  </w:style>
  <w:style w:type="paragraph" w:styleId="Footer">
    <w:name w:val="footer"/>
    <w:basedOn w:val="Normal"/>
    <w:link w:val="FooterChar"/>
    <w:uiPriority w:val="99"/>
    <w:unhideWhenUsed/>
    <w:rsid w:val="008C1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E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E7"/>
    <w:rPr>
      <w:color w:val="0000FF" w:themeColor="hyperlink"/>
      <w:u w:val="single"/>
    </w:rPr>
  </w:style>
  <w:style w:type="paragraph" w:styleId="ListParagraph">
    <w:name w:val="List Paragraph"/>
    <w:basedOn w:val="Normal"/>
    <w:uiPriority w:val="34"/>
    <w:qFormat/>
    <w:rsid w:val="00DC2DC7"/>
    <w:pPr>
      <w:ind w:left="720"/>
      <w:contextualSpacing/>
    </w:pPr>
  </w:style>
  <w:style w:type="character" w:customStyle="1" w:styleId="Heading1Char">
    <w:name w:val="Heading 1 Char"/>
    <w:basedOn w:val="DefaultParagraphFont"/>
    <w:link w:val="Heading1"/>
    <w:uiPriority w:val="9"/>
    <w:rsid w:val="00DE502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324F9"/>
    <w:rPr>
      <w:i/>
      <w:iCs/>
    </w:rPr>
  </w:style>
  <w:style w:type="paragraph" w:styleId="Header">
    <w:name w:val="header"/>
    <w:basedOn w:val="Normal"/>
    <w:link w:val="HeaderChar"/>
    <w:uiPriority w:val="99"/>
    <w:unhideWhenUsed/>
    <w:rsid w:val="008C10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0EE"/>
  </w:style>
  <w:style w:type="paragraph" w:styleId="Footer">
    <w:name w:val="footer"/>
    <w:basedOn w:val="Normal"/>
    <w:link w:val="FooterChar"/>
    <w:uiPriority w:val="99"/>
    <w:unhideWhenUsed/>
    <w:rsid w:val="008C10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385">
      <w:bodyDiv w:val="1"/>
      <w:marLeft w:val="0"/>
      <w:marRight w:val="0"/>
      <w:marTop w:val="0"/>
      <w:marBottom w:val="0"/>
      <w:divBdr>
        <w:top w:val="none" w:sz="0" w:space="0" w:color="auto"/>
        <w:left w:val="none" w:sz="0" w:space="0" w:color="auto"/>
        <w:bottom w:val="none" w:sz="0" w:space="0" w:color="auto"/>
        <w:right w:val="none" w:sz="0" w:space="0" w:color="auto"/>
      </w:divBdr>
    </w:div>
    <w:div w:id="52002553">
      <w:bodyDiv w:val="1"/>
      <w:marLeft w:val="0"/>
      <w:marRight w:val="0"/>
      <w:marTop w:val="0"/>
      <w:marBottom w:val="0"/>
      <w:divBdr>
        <w:top w:val="none" w:sz="0" w:space="0" w:color="auto"/>
        <w:left w:val="none" w:sz="0" w:space="0" w:color="auto"/>
        <w:bottom w:val="none" w:sz="0" w:space="0" w:color="auto"/>
        <w:right w:val="none" w:sz="0" w:space="0" w:color="auto"/>
      </w:divBdr>
    </w:div>
    <w:div w:id="238831170">
      <w:bodyDiv w:val="1"/>
      <w:marLeft w:val="0"/>
      <w:marRight w:val="0"/>
      <w:marTop w:val="0"/>
      <w:marBottom w:val="0"/>
      <w:divBdr>
        <w:top w:val="none" w:sz="0" w:space="0" w:color="auto"/>
        <w:left w:val="none" w:sz="0" w:space="0" w:color="auto"/>
        <w:bottom w:val="none" w:sz="0" w:space="0" w:color="auto"/>
        <w:right w:val="none" w:sz="0" w:space="0" w:color="auto"/>
      </w:divBdr>
    </w:div>
    <w:div w:id="273220926">
      <w:bodyDiv w:val="1"/>
      <w:marLeft w:val="0"/>
      <w:marRight w:val="0"/>
      <w:marTop w:val="0"/>
      <w:marBottom w:val="0"/>
      <w:divBdr>
        <w:top w:val="none" w:sz="0" w:space="0" w:color="auto"/>
        <w:left w:val="none" w:sz="0" w:space="0" w:color="auto"/>
        <w:bottom w:val="none" w:sz="0" w:space="0" w:color="auto"/>
        <w:right w:val="none" w:sz="0" w:space="0" w:color="auto"/>
      </w:divBdr>
    </w:div>
    <w:div w:id="278217981">
      <w:bodyDiv w:val="1"/>
      <w:marLeft w:val="0"/>
      <w:marRight w:val="0"/>
      <w:marTop w:val="0"/>
      <w:marBottom w:val="0"/>
      <w:divBdr>
        <w:top w:val="none" w:sz="0" w:space="0" w:color="auto"/>
        <w:left w:val="none" w:sz="0" w:space="0" w:color="auto"/>
        <w:bottom w:val="none" w:sz="0" w:space="0" w:color="auto"/>
        <w:right w:val="none" w:sz="0" w:space="0" w:color="auto"/>
      </w:divBdr>
    </w:div>
    <w:div w:id="323512530">
      <w:bodyDiv w:val="1"/>
      <w:marLeft w:val="0"/>
      <w:marRight w:val="0"/>
      <w:marTop w:val="0"/>
      <w:marBottom w:val="0"/>
      <w:divBdr>
        <w:top w:val="none" w:sz="0" w:space="0" w:color="auto"/>
        <w:left w:val="none" w:sz="0" w:space="0" w:color="auto"/>
        <w:bottom w:val="none" w:sz="0" w:space="0" w:color="auto"/>
        <w:right w:val="none" w:sz="0" w:space="0" w:color="auto"/>
      </w:divBdr>
    </w:div>
    <w:div w:id="428547611">
      <w:bodyDiv w:val="1"/>
      <w:marLeft w:val="0"/>
      <w:marRight w:val="0"/>
      <w:marTop w:val="0"/>
      <w:marBottom w:val="0"/>
      <w:divBdr>
        <w:top w:val="none" w:sz="0" w:space="0" w:color="auto"/>
        <w:left w:val="none" w:sz="0" w:space="0" w:color="auto"/>
        <w:bottom w:val="none" w:sz="0" w:space="0" w:color="auto"/>
        <w:right w:val="none" w:sz="0" w:space="0" w:color="auto"/>
      </w:divBdr>
    </w:div>
    <w:div w:id="465707174">
      <w:bodyDiv w:val="1"/>
      <w:marLeft w:val="0"/>
      <w:marRight w:val="0"/>
      <w:marTop w:val="0"/>
      <w:marBottom w:val="0"/>
      <w:divBdr>
        <w:top w:val="none" w:sz="0" w:space="0" w:color="auto"/>
        <w:left w:val="none" w:sz="0" w:space="0" w:color="auto"/>
        <w:bottom w:val="none" w:sz="0" w:space="0" w:color="auto"/>
        <w:right w:val="none" w:sz="0" w:space="0" w:color="auto"/>
      </w:divBdr>
      <w:divsChild>
        <w:div w:id="12963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666754">
      <w:bodyDiv w:val="1"/>
      <w:marLeft w:val="0"/>
      <w:marRight w:val="0"/>
      <w:marTop w:val="0"/>
      <w:marBottom w:val="0"/>
      <w:divBdr>
        <w:top w:val="none" w:sz="0" w:space="0" w:color="auto"/>
        <w:left w:val="none" w:sz="0" w:space="0" w:color="auto"/>
        <w:bottom w:val="none" w:sz="0" w:space="0" w:color="auto"/>
        <w:right w:val="none" w:sz="0" w:space="0" w:color="auto"/>
      </w:divBdr>
    </w:div>
    <w:div w:id="915090092">
      <w:bodyDiv w:val="1"/>
      <w:marLeft w:val="0"/>
      <w:marRight w:val="0"/>
      <w:marTop w:val="0"/>
      <w:marBottom w:val="0"/>
      <w:divBdr>
        <w:top w:val="none" w:sz="0" w:space="0" w:color="auto"/>
        <w:left w:val="none" w:sz="0" w:space="0" w:color="auto"/>
        <w:bottom w:val="none" w:sz="0" w:space="0" w:color="auto"/>
        <w:right w:val="none" w:sz="0" w:space="0" w:color="auto"/>
      </w:divBdr>
      <w:divsChild>
        <w:div w:id="5913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119948">
      <w:bodyDiv w:val="1"/>
      <w:marLeft w:val="0"/>
      <w:marRight w:val="0"/>
      <w:marTop w:val="0"/>
      <w:marBottom w:val="0"/>
      <w:divBdr>
        <w:top w:val="none" w:sz="0" w:space="0" w:color="auto"/>
        <w:left w:val="none" w:sz="0" w:space="0" w:color="auto"/>
        <w:bottom w:val="none" w:sz="0" w:space="0" w:color="auto"/>
        <w:right w:val="none" w:sz="0" w:space="0" w:color="auto"/>
      </w:divBdr>
      <w:divsChild>
        <w:div w:id="268319468">
          <w:marLeft w:val="0"/>
          <w:marRight w:val="0"/>
          <w:marTop w:val="0"/>
          <w:marBottom w:val="0"/>
          <w:divBdr>
            <w:top w:val="none" w:sz="0" w:space="0" w:color="auto"/>
            <w:left w:val="none" w:sz="0" w:space="0" w:color="auto"/>
            <w:bottom w:val="none" w:sz="0" w:space="0" w:color="auto"/>
            <w:right w:val="none" w:sz="0" w:space="0" w:color="auto"/>
          </w:divBdr>
        </w:div>
        <w:div w:id="2077319179">
          <w:marLeft w:val="0"/>
          <w:marRight w:val="0"/>
          <w:marTop w:val="0"/>
          <w:marBottom w:val="0"/>
          <w:divBdr>
            <w:top w:val="none" w:sz="0" w:space="0" w:color="auto"/>
            <w:left w:val="none" w:sz="0" w:space="0" w:color="auto"/>
            <w:bottom w:val="none" w:sz="0" w:space="0" w:color="auto"/>
            <w:right w:val="none" w:sz="0" w:space="0" w:color="auto"/>
          </w:divBdr>
        </w:div>
      </w:divsChild>
    </w:div>
    <w:div w:id="1145463127">
      <w:bodyDiv w:val="1"/>
      <w:marLeft w:val="0"/>
      <w:marRight w:val="0"/>
      <w:marTop w:val="0"/>
      <w:marBottom w:val="0"/>
      <w:divBdr>
        <w:top w:val="none" w:sz="0" w:space="0" w:color="auto"/>
        <w:left w:val="none" w:sz="0" w:space="0" w:color="auto"/>
        <w:bottom w:val="none" w:sz="0" w:space="0" w:color="auto"/>
        <w:right w:val="none" w:sz="0" w:space="0" w:color="auto"/>
      </w:divBdr>
    </w:div>
    <w:div w:id="1300842073">
      <w:bodyDiv w:val="1"/>
      <w:marLeft w:val="0"/>
      <w:marRight w:val="0"/>
      <w:marTop w:val="0"/>
      <w:marBottom w:val="0"/>
      <w:divBdr>
        <w:top w:val="none" w:sz="0" w:space="0" w:color="auto"/>
        <w:left w:val="none" w:sz="0" w:space="0" w:color="auto"/>
        <w:bottom w:val="none" w:sz="0" w:space="0" w:color="auto"/>
        <w:right w:val="none" w:sz="0" w:space="0" w:color="auto"/>
      </w:divBdr>
    </w:div>
    <w:div w:id="1350596382">
      <w:bodyDiv w:val="1"/>
      <w:marLeft w:val="0"/>
      <w:marRight w:val="0"/>
      <w:marTop w:val="0"/>
      <w:marBottom w:val="0"/>
      <w:divBdr>
        <w:top w:val="none" w:sz="0" w:space="0" w:color="auto"/>
        <w:left w:val="none" w:sz="0" w:space="0" w:color="auto"/>
        <w:bottom w:val="none" w:sz="0" w:space="0" w:color="auto"/>
        <w:right w:val="none" w:sz="0" w:space="0" w:color="auto"/>
      </w:divBdr>
    </w:div>
    <w:div w:id="19630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uk/2006/jul/11/egypt.pa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ers.ox.ac.uk/~ssfc0005/The%20Protocol%20of%20Sevres%201956%20Anatomy%20of%20a%20War%20Pl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1546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2015-03-08T06:38:00Z</dcterms:created>
  <dcterms:modified xsi:type="dcterms:W3CDTF">2016-02-19T20:11:00Z</dcterms:modified>
</cp:coreProperties>
</file>