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  <w:bookmarkStart w:id="0" w:name="_GoBack"/>
      <w:bookmarkEnd w:id="0"/>
      <w:r w:rsidRPr="00726826">
        <w:rPr>
          <w:rFonts w:ascii="Times New Roman" w:hAnsi="Times New Roman" w:cs="David"/>
          <w:sz w:val="24"/>
          <w:szCs w:val="24"/>
          <w:rtl/>
        </w:rPr>
        <w:t xml:space="preserve">אוניברסיטת תל-אביב                                                                                   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תשע"ה </w:t>
      </w:r>
    </w:p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 סמסטר א'</w:t>
      </w:r>
    </w:p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 xml:space="preserve">הפקולטה למדעי החברה                                                                                   </w:t>
      </w:r>
    </w:p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החוג לתקשורת</w:t>
      </w:r>
    </w:p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</w:p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</w:p>
    <w:p w:rsidR="005955A6" w:rsidRPr="00726826" w:rsidRDefault="005955A6" w:rsidP="00AF315E">
      <w:pPr>
        <w:spacing w:line="240" w:lineRule="auto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ייצוגי קבוצות בתקשורת</w:t>
      </w:r>
    </w:p>
    <w:p w:rsidR="00AF315E" w:rsidRPr="00726826" w:rsidRDefault="00AF315E" w:rsidP="00827284">
      <w:pPr>
        <w:spacing w:line="240" w:lineRule="auto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גזע, מעמד, לאום ומגדר</w:t>
      </w:r>
    </w:p>
    <w:p w:rsidR="005955A6" w:rsidRPr="00726826" w:rsidRDefault="005955A6" w:rsidP="00827284">
      <w:pPr>
        <w:spacing w:line="240" w:lineRule="auto"/>
        <w:jc w:val="center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סמינר סמסטריאלי</w:t>
      </w:r>
    </w:p>
    <w:p w:rsidR="005955A6" w:rsidRPr="00726826" w:rsidRDefault="005955A6" w:rsidP="00827284">
      <w:pPr>
        <w:spacing w:line="240" w:lineRule="auto"/>
        <w:jc w:val="center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ד"ר </w:t>
      </w:r>
      <w:proofErr w:type="spellStart"/>
      <w:r w:rsidRPr="00726826">
        <w:rPr>
          <w:rFonts w:ascii="Times New Roman" w:hAnsi="Times New Roman" w:cs="David" w:hint="cs"/>
          <w:sz w:val="24"/>
          <w:szCs w:val="24"/>
          <w:rtl/>
        </w:rPr>
        <w:t>ארנת</w:t>
      </w:r>
      <w:proofErr w:type="spellEnd"/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726826">
        <w:rPr>
          <w:rFonts w:ascii="Times New Roman" w:hAnsi="Times New Roman" w:cs="David" w:hint="cs"/>
          <w:sz w:val="24"/>
          <w:szCs w:val="24"/>
          <w:rtl/>
        </w:rPr>
        <w:t>טורין</w:t>
      </w:r>
      <w:proofErr w:type="spellEnd"/>
    </w:p>
    <w:p w:rsidR="005955A6" w:rsidRPr="00726826" w:rsidRDefault="005955A6" w:rsidP="005955A6">
      <w:pPr>
        <w:rPr>
          <w:rFonts w:ascii="Times New Roman" w:hAnsi="Times New Roman" w:cs="David"/>
          <w:sz w:val="24"/>
          <w:szCs w:val="24"/>
          <w:rtl/>
        </w:rPr>
      </w:pPr>
    </w:p>
    <w:p w:rsidR="00827284" w:rsidRPr="00726826" w:rsidRDefault="00827284" w:rsidP="005955A6">
      <w:pPr>
        <w:rPr>
          <w:rFonts w:ascii="Times New Roman" w:hAnsi="Times New Roman" w:cs="David"/>
          <w:sz w:val="24"/>
          <w:szCs w:val="24"/>
          <w:rtl/>
        </w:rPr>
      </w:pPr>
    </w:p>
    <w:p w:rsidR="005955A6" w:rsidRPr="00726826" w:rsidRDefault="005955A6" w:rsidP="00C05D8E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ימי ה' 1</w:t>
      </w:r>
      <w:r w:rsidR="00C05D8E">
        <w:rPr>
          <w:rFonts w:ascii="Times New Roman" w:hAnsi="Times New Roman" w:cs="David" w:hint="cs"/>
          <w:sz w:val="24"/>
          <w:szCs w:val="24"/>
          <w:rtl/>
        </w:rPr>
        <w:t>7</w:t>
      </w:r>
      <w:r w:rsidRPr="00726826">
        <w:rPr>
          <w:rFonts w:ascii="Times New Roman" w:hAnsi="Times New Roman" w:cs="David"/>
          <w:sz w:val="24"/>
          <w:szCs w:val="24"/>
          <w:rtl/>
        </w:rPr>
        <w:t>-</w:t>
      </w:r>
      <w:r w:rsidRPr="00726826">
        <w:rPr>
          <w:rFonts w:ascii="Times New Roman" w:hAnsi="Times New Roman" w:cs="David" w:hint="cs"/>
          <w:sz w:val="24"/>
          <w:szCs w:val="24"/>
          <w:rtl/>
        </w:rPr>
        <w:t>20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 נפתלי </w:t>
      </w:r>
      <w:r w:rsidR="00DE3264" w:rsidRPr="00726826">
        <w:rPr>
          <w:rFonts w:ascii="Times New Roman" w:hAnsi="Times New Roman" w:cs="David" w:hint="cs"/>
          <w:sz w:val="24"/>
          <w:szCs w:val="24"/>
          <w:rtl/>
        </w:rPr>
        <w:t>314</w:t>
      </w:r>
    </w:p>
    <w:p w:rsidR="005955A6" w:rsidRPr="00726826" w:rsidRDefault="009762F4" w:rsidP="009762F4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955A6" w:rsidRPr="00726826">
        <w:rPr>
          <w:rFonts w:ascii="Times New Roman" w:hAnsi="Times New Roman" w:cs="David"/>
          <w:sz w:val="24"/>
          <w:szCs w:val="24"/>
          <w:rtl/>
        </w:rPr>
        <w:t xml:space="preserve">שעות קבלה: יום </w:t>
      </w:r>
      <w:r w:rsidRPr="00726826">
        <w:rPr>
          <w:rFonts w:ascii="Times New Roman" w:hAnsi="Times New Roman" w:cs="David" w:hint="cs"/>
          <w:sz w:val="24"/>
          <w:szCs w:val="24"/>
          <w:rtl/>
        </w:rPr>
        <w:t>ה</w:t>
      </w:r>
      <w:r w:rsidR="005955A6" w:rsidRPr="00726826">
        <w:rPr>
          <w:rFonts w:ascii="Times New Roman" w:hAnsi="Times New Roman" w:cs="David"/>
          <w:sz w:val="24"/>
          <w:szCs w:val="24"/>
          <w:rtl/>
        </w:rPr>
        <w:t>' 1</w:t>
      </w:r>
      <w:r w:rsidRPr="00726826">
        <w:rPr>
          <w:rFonts w:ascii="Times New Roman" w:hAnsi="Times New Roman" w:cs="David" w:hint="cs"/>
          <w:sz w:val="24"/>
          <w:szCs w:val="24"/>
          <w:rtl/>
        </w:rPr>
        <w:t>5</w:t>
      </w:r>
      <w:r w:rsidR="005955A6" w:rsidRPr="00726826">
        <w:rPr>
          <w:rFonts w:ascii="Times New Roman" w:hAnsi="Times New Roman" w:cs="David"/>
          <w:sz w:val="24"/>
          <w:szCs w:val="24"/>
          <w:rtl/>
        </w:rPr>
        <w:t>-1</w:t>
      </w:r>
      <w:r w:rsidRPr="00726826">
        <w:rPr>
          <w:rFonts w:ascii="Times New Roman" w:hAnsi="Times New Roman" w:cs="David" w:hint="cs"/>
          <w:sz w:val="24"/>
          <w:szCs w:val="24"/>
          <w:rtl/>
        </w:rPr>
        <w:t>6</w:t>
      </w:r>
      <w:r w:rsidR="005955A6" w:rsidRPr="00726826">
        <w:rPr>
          <w:rFonts w:ascii="Times New Roman" w:hAnsi="Times New Roman" w:cs="David"/>
          <w:sz w:val="24"/>
          <w:szCs w:val="24"/>
          <w:rtl/>
        </w:rPr>
        <w:t>, או בתאום מראש</w:t>
      </w:r>
    </w:p>
    <w:p w:rsidR="005955A6" w:rsidRPr="00726826" w:rsidRDefault="009762F4" w:rsidP="005955A6">
      <w:pPr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/>
          <w:sz w:val="24"/>
          <w:szCs w:val="24"/>
        </w:rPr>
        <w:t>ornat@gordon.ac.il</w:t>
      </w:r>
    </w:p>
    <w:p w:rsidR="00B64650" w:rsidRPr="00726826" w:rsidRDefault="00B64650">
      <w:pPr>
        <w:rPr>
          <w:rFonts w:ascii="Times New Roman" w:hAnsi="Times New Roman" w:cs="David"/>
          <w:sz w:val="24"/>
          <w:szCs w:val="24"/>
          <w:rtl/>
        </w:rPr>
      </w:pPr>
    </w:p>
    <w:p w:rsidR="00B64650" w:rsidRPr="00726826" w:rsidRDefault="00B64650">
      <w:pPr>
        <w:rPr>
          <w:rFonts w:ascii="Times New Roman" w:hAnsi="Times New Roman" w:cs="David"/>
          <w:b/>
          <w:bCs/>
          <w:sz w:val="24"/>
          <w:szCs w:val="24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תיאור הקורס:</w:t>
      </w:r>
    </w:p>
    <w:p w:rsidR="008D73CC" w:rsidRPr="00726826" w:rsidRDefault="008D73CC" w:rsidP="00DE3264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 xml:space="preserve">מקדמת דנא </w:t>
      </w:r>
      <w:proofErr w:type="spellStart"/>
      <w:r w:rsidRPr="00726826">
        <w:rPr>
          <w:rFonts w:ascii="Times New Roman" w:hAnsi="Times New Roman" w:cs="David"/>
          <w:sz w:val="24"/>
          <w:szCs w:val="24"/>
          <w:rtl/>
        </w:rPr>
        <w:t>היתה</w:t>
      </w:r>
      <w:proofErr w:type="spellEnd"/>
      <w:r w:rsidRPr="00726826">
        <w:rPr>
          <w:rFonts w:ascii="Times New Roman" w:hAnsi="Times New Roman" w:cs="David"/>
          <w:sz w:val="24"/>
          <w:szCs w:val="24"/>
          <w:rtl/>
        </w:rPr>
        <w:t xml:space="preserve"> לאנושות היכולת לייצג דברים בפיסול ובציור, אולם הולדת אמצעי התקשורת האלקטרוניים הפכה את סביבת החיים בעידן המודרני לגדושה בייצוגים משוכללים. הקולנוע, הטלוויזיה והמחשב ניחנו ביכולת-על להעמיד מיצגים מפורטים של אירועים,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תקופות, </w:t>
      </w:r>
      <w:r w:rsidRPr="00726826">
        <w:rPr>
          <w:rFonts w:ascii="Times New Roman" w:hAnsi="Times New Roman" w:cs="David"/>
          <w:sz w:val="24"/>
          <w:szCs w:val="24"/>
          <w:rtl/>
        </w:rPr>
        <w:t>מקומות ואנשים</w:t>
      </w:r>
      <w:r w:rsidRPr="00726826">
        <w:rPr>
          <w:rFonts w:ascii="Times New Roman" w:hAnsi="Times New Roman" w:cs="David" w:hint="cs"/>
          <w:sz w:val="24"/>
          <w:szCs w:val="24"/>
          <w:rtl/>
        </w:rPr>
        <w:t>.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 יכולת זו חידדה את הדיון בשאלת היחס בין ייצוג למציאות. </w:t>
      </w:r>
    </w:p>
    <w:p w:rsidR="00274A54" w:rsidRPr="00726826" w:rsidRDefault="005C0102" w:rsidP="00DE326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>הסמינר מבקש להעמיד את תמונת הבדיון של החברה ב</w:t>
      </w:r>
      <w:r w:rsidR="00AC5DA5" w:rsidRPr="00726826">
        <w:rPr>
          <w:rFonts w:ascii="Times New Roman" w:hAnsi="Times New Roman" w:cs="David" w:hint="cs"/>
          <w:sz w:val="24"/>
          <w:szCs w:val="24"/>
          <w:rtl/>
        </w:rPr>
        <w:t>ארבעה צירים</w:t>
      </w:r>
      <w:r w:rsidR="00DE3264" w:rsidRPr="00726826">
        <w:rPr>
          <w:rFonts w:ascii="Times New Roman" w:hAnsi="Times New Roman" w:cs="David" w:hint="cs"/>
          <w:sz w:val="24"/>
          <w:szCs w:val="24"/>
          <w:rtl/>
        </w:rPr>
        <w:t>,</w:t>
      </w:r>
      <w:r w:rsidR="00AC5DA5" w:rsidRPr="00726826">
        <w:rPr>
          <w:rFonts w:ascii="Times New Roman" w:hAnsi="Times New Roman" w:cs="David" w:hint="cs"/>
          <w:sz w:val="24"/>
          <w:szCs w:val="24"/>
          <w:rtl/>
        </w:rPr>
        <w:t xml:space="preserve"> בשאיפה שהעיון  בייצוגים של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:</w:t>
      </w:r>
      <w:r w:rsidR="00AC5DA5" w:rsidRPr="00726826">
        <w:rPr>
          <w:rFonts w:ascii="Times New Roman" w:hAnsi="Times New Roman" w:cs="David" w:hint="cs"/>
          <w:sz w:val="24"/>
          <w:szCs w:val="24"/>
          <w:rtl/>
        </w:rPr>
        <w:t xml:space="preserve"> גזע, מעמד</w:t>
      </w:r>
      <w:r w:rsidR="00274A54" w:rsidRPr="00726826">
        <w:rPr>
          <w:rFonts w:ascii="Times New Roman" w:hAnsi="Times New Roman" w:cs="David" w:hint="cs"/>
          <w:sz w:val="24"/>
          <w:szCs w:val="24"/>
          <w:rtl/>
        </w:rPr>
        <w:t>,</w:t>
      </w:r>
      <w:r w:rsidR="001E5D1F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C5DA5" w:rsidRPr="00726826">
        <w:rPr>
          <w:rFonts w:ascii="Times New Roman" w:hAnsi="Times New Roman" w:cs="David" w:hint="cs"/>
          <w:sz w:val="24"/>
          <w:szCs w:val="24"/>
          <w:rtl/>
        </w:rPr>
        <w:t>לאום ומגדר, יעניק תמונה חיה ו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עשירה</w:t>
      </w:r>
      <w:r w:rsidR="00274A54" w:rsidRPr="00726826">
        <w:rPr>
          <w:rFonts w:ascii="Times New Roman" w:hAnsi="Times New Roman" w:cs="David" w:hint="cs"/>
          <w:sz w:val="24"/>
          <w:szCs w:val="24"/>
          <w:rtl/>
        </w:rPr>
        <w:t>,</w:t>
      </w:r>
      <w:r w:rsidR="00AC5DA5" w:rsidRPr="00726826">
        <w:rPr>
          <w:rFonts w:ascii="Times New Roman" w:hAnsi="Times New Roman" w:cs="David" w:hint="cs"/>
          <w:sz w:val="24"/>
          <w:szCs w:val="24"/>
          <w:rtl/>
        </w:rPr>
        <w:t xml:space="preserve"> הן של החברה המדומיינת והן של תחום הייצוג.</w:t>
      </w:r>
      <w:r w:rsidR="00274A54" w:rsidRPr="00726826">
        <w:rPr>
          <w:rFonts w:ascii="Times New Roman" w:hAnsi="Times New Roman" w:cs="David" w:hint="cs"/>
          <w:sz w:val="24"/>
          <w:szCs w:val="24"/>
          <w:rtl/>
        </w:rPr>
        <w:t xml:space="preserve"> כל אחד מ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ן הצירים שהם </w:t>
      </w:r>
      <w:r w:rsidR="00274A54" w:rsidRPr="00726826">
        <w:rPr>
          <w:rFonts w:ascii="Times New Roman" w:hAnsi="Times New Roman" w:cs="David" w:hint="cs"/>
          <w:sz w:val="24"/>
          <w:szCs w:val="24"/>
          <w:rtl/>
        </w:rPr>
        <w:t>משתני המפתח המקובלים במחקר הסוציולוגי ובחקר התרבות י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בחן באמצעות </w:t>
      </w:r>
      <w:r w:rsidR="00274A54" w:rsidRPr="00726826">
        <w:rPr>
          <w:rFonts w:ascii="Times New Roman" w:hAnsi="Times New Roman" w:cs="David" w:hint="cs"/>
          <w:sz w:val="24"/>
          <w:szCs w:val="24"/>
          <w:rtl/>
        </w:rPr>
        <w:t xml:space="preserve"> מחקר אמפירי לצד סוגיה תיאורטית.</w:t>
      </w:r>
      <w:r w:rsidR="002A3E3C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C87DC7" w:rsidRPr="00726826" w:rsidRDefault="00274A54" w:rsidP="00DE326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כעבודת סיום יבחרו המשתתפים קבוצה חברתית וי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תנסו באיסוף נתונים כמותניים או איכותניים של מאפייניה. </w:t>
      </w:r>
      <w:r w:rsidR="002A3E3C" w:rsidRPr="00726826">
        <w:rPr>
          <w:rFonts w:ascii="Times New Roman" w:hAnsi="Times New Roman" w:cs="David" w:hint="cs"/>
          <w:sz w:val="24"/>
          <w:szCs w:val="24"/>
          <w:rtl/>
        </w:rPr>
        <w:t xml:space="preserve">מומלץ לסטודנטים הלוקחים חלק בסמינר לבחור נושא, קבוצה ותיאוריה, אשר </w:t>
      </w:r>
      <w:r w:rsidR="00DE3264" w:rsidRPr="00726826">
        <w:rPr>
          <w:rFonts w:ascii="Times New Roman" w:hAnsi="Times New Roman" w:cs="David" w:hint="cs"/>
          <w:sz w:val="24"/>
          <w:szCs w:val="24"/>
          <w:rtl/>
        </w:rPr>
        <w:t xml:space="preserve">יש לה זיקה לעבודת התיזה שלהם ואשר </w:t>
      </w:r>
      <w:r w:rsidR="002A3E3C" w:rsidRPr="00726826">
        <w:rPr>
          <w:rFonts w:ascii="Times New Roman" w:hAnsi="Times New Roman" w:cs="David" w:hint="cs"/>
          <w:sz w:val="24"/>
          <w:szCs w:val="24"/>
          <w:rtl/>
        </w:rPr>
        <w:t xml:space="preserve">יסייעו להם </w:t>
      </w:r>
      <w:r w:rsidR="00DE3264" w:rsidRPr="00726826">
        <w:rPr>
          <w:rFonts w:ascii="Times New Roman" w:hAnsi="Times New Roman" w:cs="David" w:hint="cs"/>
          <w:sz w:val="24"/>
          <w:szCs w:val="24"/>
          <w:rtl/>
        </w:rPr>
        <w:t>בקידומה</w:t>
      </w:r>
      <w:r w:rsidR="00A742E1" w:rsidRPr="00726826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:rsidR="008D73CC" w:rsidRPr="00726826" w:rsidRDefault="008D73CC" w:rsidP="008D73CC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:rsidR="004B2CDE" w:rsidRPr="00726826" w:rsidRDefault="004B2CDE" w:rsidP="008D73CC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:rsidR="004B2CDE" w:rsidRPr="00726826" w:rsidRDefault="004B2CDE" w:rsidP="008D73CC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:rsidR="00AD422A" w:rsidRPr="00726826" w:rsidRDefault="00AD422A" w:rsidP="002B69B1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lastRenderedPageBreak/>
        <w:t>מטרות ה</w:t>
      </w:r>
      <w:r w:rsidR="002B69B1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סמינר</w:t>
      </w: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</w:p>
    <w:p w:rsidR="00AD422A" w:rsidRPr="00726826" w:rsidRDefault="00AD422A" w:rsidP="002B69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>ל</w:t>
      </w:r>
      <w:r w:rsidR="005C59BA" w:rsidRPr="00726826">
        <w:rPr>
          <w:rFonts w:ascii="Times New Roman" w:hAnsi="Times New Roman" w:cs="David" w:hint="cs"/>
          <w:sz w:val="24"/>
          <w:szCs w:val="24"/>
          <w:rtl/>
        </w:rPr>
        <w:t xml:space="preserve">הקנות ידע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על האופן שבו מייצגים אמצעי התקשורת </w:t>
      </w:r>
      <w:r w:rsidR="00D707DB" w:rsidRPr="00726826">
        <w:rPr>
          <w:rFonts w:ascii="Times New Roman" w:hAnsi="Times New Roman" w:cs="David" w:hint="cs"/>
          <w:sz w:val="24"/>
          <w:szCs w:val="24"/>
          <w:rtl/>
        </w:rPr>
        <w:t>קבוצות שונות</w:t>
      </w:r>
      <w:r w:rsidR="002B69B1" w:rsidRPr="00726826">
        <w:rPr>
          <w:rFonts w:ascii="Times New Roman" w:hAnsi="Times New Roman" w:cs="David" w:hint="cs"/>
          <w:sz w:val="24"/>
          <w:szCs w:val="24"/>
          <w:rtl/>
        </w:rPr>
        <w:t xml:space="preserve"> וללמוד סוגיות תיאורטיות הכרוכות בייצוגן.</w:t>
      </w:r>
      <w:r w:rsidR="00130036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B64650" w:rsidRPr="00726826" w:rsidRDefault="00130036" w:rsidP="002B69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>ל</w:t>
      </w:r>
      <w:r w:rsidR="002B69B1" w:rsidRPr="00726826">
        <w:rPr>
          <w:rFonts w:ascii="Times New Roman" w:hAnsi="Times New Roman" w:cs="David" w:hint="cs"/>
          <w:sz w:val="24"/>
          <w:szCs w:val="24"/>
          <w:rtl/>
        </w:rPr>
        <w:t>בחון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את הקשר בין אופני הייצוג לריבוד החברתי</w:t>
      </w:r>
      <w:r w:rsidR="002B69B1" w:rsidRPr="00726826">
        <w:rPr>
          <w:rFonts w:ascii="Times New Roman" w:hAnsi="Times New Roman" w:cs="David" w:hint="cs"/>
          <w:sz w:val="24"/>
          <w:szCs w:val="24"/>
          <w:rtl/>
        </w:rPr>
        <w:t>.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B69B1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2B69B1" w:rsidRPr="00726826" w:rsidRDefault="002B69B1" w:rsidP="008D73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להעריך את 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ההשלכות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הפוטנציאליות של ייצוגים אלו</w:t>
      </w:r>
      <w:r w:rsidR="00D73B87" w:rsidRPr="00726826">
        <w:rPr>
          <w:rFonts w:ascii="Times New Roman" w:hAnsi="Times New Roman" w:cs="David" w:hint="cs"/>
          <w:sz w:val="24"/>
          <w:szCs w:val="24"/>
          <w:rtl/>
        </w:rPr>
        <w:t>.</w:t>
      </w:r>
    </w:p>
    <w:p w:rsidR="00A909E0" w:rsidRPr="00726826" w:rsidRDefault="00A909E0" w:rsidP="00A909E0">
      <w:pPr>
        <w:pStyle w:val="a3"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:rsidR="00A909E0" w:rsidRPr="00726826" w:rsidRDefault="00A909E0" w:rsidP="00A909E0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מבנה הסמינר</w:t>
      </w:r>
    </w:p>
    <w:p w:rsidR="00A909E0" w:rsidRPr="00726826" w:rsidRDefault="00A909E0" w:rsidP="00DE3264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>הקורס י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תבסס על הרצאות </w:t>
      </w:r>
      <w:r w:rsidRPr="00726826">
        <w:rPr>
          <w:rFonts w:ascii="Times New Roman" w:hAnsi="Times New Roman" w:cs="David" w:hint="cs"/>
          <w:sz w:val="24"/>
          <w:szCs w:val="24"/>
          <w:rtl/>
        </w:rPr>
        <w:t>בחלקו הראשון</w:t>
      </w:r>
      <w:r w:rsidR="00CE1EEA" w:rsidRPr="00726826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Pr="00726826">
        <w:rPr>
          <w:rFonts w:ascii="Times New Roman" w:hAnsi="Times New Roman" w:cs="David"/>
          <w:sz w:val="24"/>
          <w:szCs w:val="24"/>
          <w:rtl/>
        </w:rPr>
        <w:t>בחלקו האחר יעסקו התלמידים ב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גיבוש נושא, 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חיפוש עצמאי של חומר קריאה, ניתוח ביקורתי של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ייצוגי קבוצה 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ובכתיבת עבודה אינטגרטיבית 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בנושא זה. העבודה </w:t>
      </w:r>
      <w:r w:rsidR="00DE3264" w:rsidRPr="00726826">
        <w:rPr>
          <w:rFonts w:ascii="Times New Roman" w:hAnsi="Times New Roman" w:cs="David" w:hint="cs"/>
          <w:sz w:val="24"/>
          <w:szCs w:val="24"/>
          <w:rtl/>
        </w:rPr>
        <w:t>תתפרש אל מעבר למניית</w:t>
      </w:r>
      <w:r w:rsidR="005A1E96" w:rsidRPr="00726826">
        <w:rPr>
          <w:rFonts w:ascii="Times New Roman" w:hAnsi="Times New Roman" w:cs="David" w:hint="cs"/>
          <w:sz w:val="24"/>
          <w:szCs w:val="24"/>
          <w:rtl/>
        </w:rPr>
        <w:t xml:space="preserve"> מאפייני הייצוג </w:t>
      </w:r>
      <w:r w:rsidR="00DE3264" w:rsidRPr="00726826">
        <w:rPr>
          <w:rFonts w:ascii="Times New Roman" w:hAnsi="Times New Roman" w:cs="David" w:hint="cs"/>
          <w:sz w:val="24"/>
          <w:szCs w:val="24"/>
          <w:rtl/>
        </w:rPr>
        <w:t>ותדון</w:t>
      </w:r>
      <w:r w:rsidR="005A1E96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בייצוג באמצעות כלים תיאורטיים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. </w:t>
      </w:r>
    </w:p>
    <w:p w:rsidR="00A909E0" w:rsidRPr="00726826" w:rsidRDefault="00A909E0" w:rsidP="00A909E0">
      <w:pPr>
        <w:pStyle w:val="2"/>
        <w:rPr>
          <w:rtl/>
        </w:rPr>
      </w:pPr>
      <w:r w:rsidRPr="00726826">
        <w:rPr>
          <w:rtl/>
        </w:rPr>
        <w:t>חובות הסמינר</w:t>
      </w:r>
    </w:p>
    <w:p w:rsidR="00DE3264" w:rsidRPr="00726826" w:rsidRDefault="00DE3264" w:rsidP="00DE3264">
      <w:pPr>
        <w:rPr>
          <w:rFonts w:cs="David"/>
          <w:sz w:val="24"/>
          <w:szCs w:val="24"/>
          <w:rtl/>
          <w:lang w:eastAsia="he-IL"/>
        </w:rPr>
      </w:pPr>
    </w:p>
    <w:p w:rsidR="00797965" w:rsidRDefault="00A909E0" w:rsidP="00726826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</w:rPr>
      </w:pPr>
      <w:r w:rsidRPr="00797965">
        <w:rPr>
          <w:rFonts w:ascii="Times New Roman" w:hAnsi="Times New Roman" w:cs="David"/>
          <w:sz w:val="24"/>
          <w:szCs w:val="24"/>
          <w:rtl/>
        </w:rPr>
        <w:t xml:space="preserve">השתתפות פעילה במפגשי הסמינר </w:t>
      </w:r>
    </w:p>
    <w:p w:rsidR="00A909E0" w:rsidRPr="00797965" w:rsidRDefault="00A909E0" w:rsidP="00726826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  <w:rtl/>
        </w:rPr>
      </w:pPr>
      <w:r w:rsidRPr="00797965">
        <w:rPr>
          <w:rFonts w:ascii="Times New Roman" w:hAnsi="Times New Roman" w:cs="David"/>
          <w:sz w:val="24"/>
          <w:szCs w:val="24"/>
          <w:rtl/>
        </w:rPr>
        <w:t xml:space="preserve"> קריאת </w:t>
      </w:r>
      <w:r w:rsidR="000B610D" w:rsidRPr="00797965">
        <w:rPr>
          <w:rFonts w:ascii="Times New Roman" w:hAnsi="Times New Roman" w:cs="David" w:hint="cs"/>
          <w:sz w:val="24"/>
          <w:szCs w:val="24"/>
          <w:rtl/>
        </w:rPr>
        <w:t>מקורות רלבנטיים לקראת השיעור</w:t>
      </w:r>
      <w:r w:rsidR="00DE3264" w:rsidRPr="00797965">
        <w:rPr>
          <w:rFonts w:ascii="Times New Roman" w:hAnsi="Times New Roman" w:cs="David" w:hint="cs"/>
          <w:sz w:val="24"/>
          <w:szCs w:val="24"/>
          <w:rtl/>
        </w:rPr>
        <w:t xml:space="preserve"> (הצגה בעל פה של אחד ממאמרי החובה, פעם אחת לאורך הקורס)</w:t>
      </w:r>
    </w:p>
    <w:p w:rsidR="00A909E0" w:rsidRPr="00726826" w:rsidRDefault="00A909E0" w:rsidP="00A909E0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 xml:space="preserve"> גיבוש נושא לעבודה תוך קריאה עצמאית</w:t>
      </w:r>
      <w:r w:rsidR="005A1E96" w:rsidRPr="00726826">
        <w:rPr>
          <w:rFonts w:ascii="Times New Roman" w:hAnsi="Times New Roman" w:cs="David" w:hint="cs"/>
          <w:sz w:val="24"/>
          <w:szCs w:val="24"/>
          <w:rtl/>
        </w:rPr>
        <w:t xml:space="preserve"> והת</w:t>
      </w:r>
      <w:r w:rsidR="000B610D" w:rsidRPr="00726826">
        <w:rPr>
          <w:rFonts w:ascii="Times New Roman" w:hAnsi="Times New Roman" w:cs="David" w:hint="cs"/>
          <w:sz w:val="24"/>
          <w:szCs w:val="24"/>
          <w:rtl/>
        </w:rPr>
        <w:t>י</w:t>
      </w:r>
      <w:r w:rsidR="005A1E96" w:rsidRPr="00726826">
        <w:rPr>
          <w:rFonts w:ascii="Times New Roman" w:hAnsi="Times New Roman" w:cs="David" w:hint="cs"/>
          <w:sz w:val="24"/>
          <w:szCs w:val="24"/>
          <w:rtl/>
        </w:rPr>
        <w:t>יעצות.</w:t>
      </w:r>
    </w:p>
    <w:p w:rsidR="00A909E0" w:rsidRPr="00726826" w:rsidRDefault="00A909E0" w:rsidP="00A909E0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/>
          <w:sz w:val="24"/>
          <w:szCs w:val="24"/>
          <w:rtl/>
        </w:rPr>
        <w:t xml:space="preserve"> הצגת </w:t>
      </w:r>
      <w:r w:rsidRPr="00726826">
        <w:rPr>
          <w:rFonts w:ascii="Times New Roman" w:hAnsi="Times New Roman" w:cs="David" w:hint="cs"/>
          <w:sz w:val="24"/>
          <w:szCs w:val="24"/>
          <w:rtl/>
        </w:rPr>
        <w:t>נושא העבודה בכתה</w:t>
      </w:r>
      <w:r w:rsidR="005A1E96" w:rsidRPr="00726826">
        <w:rPr>
          <w:rFonts w:ascii="Times New Roman" w:hAnsi="Times New Roman" w:cs="David" w:hint="cs"/>
          <w:sz w:val="24"/>
          <w:szCs w:val="24"/>
          <w:rtl/>
        </w:rPr>
        <w:t xml:space="preserve"> ברפרט.</w:t>
      </w:r>
    </w:p>
    <w:p w:rsidR="00A909E0" w:rsidRPr="00726826" w:rsidRDefault="00A909E0" w:rsidP="00A909E0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הגשת עבודה כתובה</w:t>
      </w:r>
    </w:p>
    <w:p w:rsidR="00A909E0" w:rsidRPr="00726826" w:rsidRDefault="00A909E0" w:rsidP="00A909E0">
      <w:pPr>
        <w:rPr>
          <w:rFonts w:ascii="Times New Roman" w:hAnsi="Times New Roman" w:cs="David"/>
          <w:sz w:val="24"/>
          <w:szCs w:val="24"/>
          <w:rtl/>
        </w:rPr>
      </w:pPr>
    </w:p>
    <w:p w:rsidR="00A909E0" w:rsidRPr="00726826" w:rsidRDefault="00A909E0" w:rsidP="00A909E0">
      <w:pPr>
        <w:pStyle w:val="2"/>
        <w:rPr>
          <w:rtl/>
        </w:rPr>
      </w:pPr>
      <w:r w:rsidRPr="00726826">
        <w:rPr>
          <w:rtl/>
        </w:rPr>
        <w:t>אופי העבודה הסמינריונית והיקפה</w:t>
      </w:r>
    </w:p>
    <w:p w:rsidR="00A909E0" w:rsidRPr="00726826" w:rsidRDefault="00A909E0" w:rsidP="00A909E0">
      <w:pPr>
        <w:rPr>
          <w:rFonts w:ascii="Times New Roman" w:hAnsi="Times New Roman" w:cs="David"/>
          <w:sz w:val="24"/>
          <w:szCs w:val="24"/>
          <w:u w:val="single"/>
          <w:rtl/>
        </w:rPr>
      </w:pPr>
    </w:p>
    <w:p w:rsidR="0043577F" w:rsidRPr="00726826" w:rsidRDefault="00A909E0" w:rsidP="0043577F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העבודה הסמינ</w:t>
      </w:r>
      <w:r w:rsidR="00A423C9" w:rsidRPr="00726826">
        <w:rPr>
          <w:rFonts w:ascii="Times New Roman" w:hAnsi="Times New Roman" w:cs="David"/>
          <w:sz w:val="24"/>
          <w:szCs w:val="24"/>
          <w:rtl/>
        </w:rPr>
        <w:t>ריונית תעסוק בהרחבה בנושא הנבחר</w:t>
      </w:r>
      <w:r w:rsidR="00A423C9" w:rsidRPr="00726826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43577F" w:rsidRPr="00726826">
        <w:rPr>
          <w:rFonts w:ascii="Times New Roman" w:hAnsi="Times New Roman" w:cs="David" w:hint="cs"/>
          <w:sz w:val="24"/>
          <w:szCs w:val="24"/>
          <w:rtl/>
        </w:rPr>
        <w:t>העבודה תתבסס על ניתוח תוכן מצומצם של קבוצה אחת או השוואה בין שתיים. עבודה ראויה תהא זו אשר תשכיל לאתר ולפתח, לצד ממצאי הניתוח, גם פריזמה תיאורטית המעמיקה את משמעותם.</w:t>
      </w:r>
    </w:p>
    <w:p w:rsidR="00A909E0" w:rsidRPr="00726826" w:rsidRDefault="00A909E0" w:rsidP="008D73CC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העבודה תוגש כעבודה אינדיווידואלית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(על פי תקנות הפקולטה </w:t>
      </w:r>
      <w:r w:rsidRPr="00726826">
        <w:rPr>
          <w:rFonts w:ascii="Times New Roman" w:hAnsi="Times New Roman" w:cs="David"/>
          <w:sz w:val="24"/>
          <w:szCs w:val="24"/>
          <w:rtl/>
        </w:rPr>
        <w:t>–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אין חריגה!)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 כשהיא  מודפסת בגופן 12 ברווח 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אחד וחצי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. היקף העבודה יהיה כ- </w:t>
      </w:r>
      <w:r w:rsidR="005C0102" w:rsidRPr="00726826">
        <w:rPr>
          <w:rFonts w:ascii="Times New Roman" w:hAnsi="Times New Roman" w:cs="David" w:hint="cs"/>
          <w:sz w:val="24"/>
          <w:szCs w:val="24"/>
          <w:rtl/>
        </w:rPr>
        <w:t>6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,000 מלים (כ- </w:t>
      </w:r>
      <w:r w:rsidR="00A423C9" w:rsidRPr="00726826">
        <w:rPr>
          <w:rFonts w:ascii="Times New Roman" w:hAnsi="Times New Roman" w:cs="David" w:hint="cs"/>
          <w:sz w:val="24"/>
          <w:szCs w:val="24"/>
          <w:rtl/>
        </w:rPr>
        <w:t>15</w:t>
      </w:r>
      <w:r w:rsidRPr="00726826">
        <w:rPr>
          <w:rFonts w:ascii="Times New Roman" w:hAnsi="Times New Roman" w:cs="David"/>
          <w:sz w:val="24"/>
          <w:szCs w:val="24"/>
          <w:rtl/>
        </w:rPr>
        <w:t xml:space="preserve"> עמודים) לא כולל ביבליוגרפיה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ונספחים</w:t>
      </w:r>
      <w:r w:rsidRPr="00726826">
        <w:rPr>
          <w:rFonts w:ascii="Times New Roman" w:hAnsi="Times New Roman" w:cs="David"/>
          <w:sz w:val="24"/>
          <w:szCs w:val="24"/>
          <w:rtl/>
        </w:rPr>
        <w:t>. הנחיות מפורטות לכתיבת עבודה סמינריונית תימסרנה במהלך הסמסטר.</w:t>
      </w:r>
    </w:p>
    <w:p w:rsidR="008D73CC" w:rsidRPr="00726826" w:rsidRDefault="008D73CC" w:rsidP="00A909E0">
      <w:pPr>
        <w:pStyle w:val="2"/>
        <w:rPr>
          <w:rtl/>
        </w:rPr>
      </w:pPr>
    </w:p>
    <w:p w:rsidR="00A909E0" w:rsidRPr="00726826" w:rsidRDefault="00A909E0" w:rsidP="00A909E0">
      <w:pPr>
        <w:pStyle w:val="2"/>
        <w:rPr>
          <w:rtl/>
        </w:rPr>
      </w:pPr>
      <w:r w:rsidRPr="00726826">
        <w:rPr>
          <w:rtl/>
        </w:rPr>
        <w:t>מרכיבי ציון הסמינר</w:t>
      </w:r>
    </w:p>
    <w:p w:rsidR="00A909E0" w:rsidRPr="00726826" w:rsidRDefault="00A909E0" w:rsidP="00A909E0">
      <w:pPr>
        <w:rPr>
          <w:rFonts w:ascii="Times New Roman" w:hAnsi="Times New Roman" w:cs="David"/>
          <w:sz w:val="24"/>
          <w:szCs w:val="24"/>
          <w:rtl/>
        </w:rPr>
      </w:pPr>
    </w:p>
    <w:p w:rsidR="00A909E0" w:rsidRPr="00726826" w:rsidRDefault="00A909E0" w:rsidP="00A909E0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>ציון הסמינר ייקבע לפי שלושה מרכיבים:</w:t>
      </w:r>
    </w:p>
    <w:p w:rsidR="00A909E0" w:rsidRPr="00726826" w:rsidRDefault="00CE1EEA" w:rsidP="00CE1EEA">
      <w:pPr>
        <w:numPr>
          <w:ilvl w:val="0"/>
          <w:numId w:val="8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>5</w:t>
      </w:r>
      <w:r w:rsidR="00A909E0" w:rsidRPr="00726826">
        <w:rPr>
          <w:rFonts w:ascii="Times New Roman" w:hAnsi="Times New Roman" w:cs="David"/>
          <w:sz w:val="24"/>
          <w:szCs w:val="24"/>
          <w:rtl/>
        </w:rPr>
        <w:t xml:space="preserve">% -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מילוי חובת הנוכחות ועמידה בלוח זמנים של הגשת הצעה לסמינר שיכלול: נושא, ראשי פרקים, מבוא באורך עמוד ורשימת מקורות ראשונית עד סוף שנת 2014. </w:t>
      </w:r>
    </w:p>
    <w:p w:rsidR="0043577F" w:rsidRPr="00726826" w:rsidRDefault="0043577F" w:rsidP="0043577F">
      <w:pPr>
        <w:spacing w:after="0" w:line="240" w:lineRule="auto"/>
        <w:ind w:right="360"/>
        <w:rPr>
          <w:rFonts w:ascii="Times New Roman" w:hAnsi="Times New Roman" w:cs="David"/>
          <w:sz w:val="24"/>
          <w:szCs w:val="24"/>
        </w:rPr>
      </w:pPr>
    </w:p>
    <w:p w:rsidR="00A909E0" w:rsidRPr="00726826" w:rsidRDefault="0043577F" w:rsidP="008D73CC">
      <w:pPr>
        <w:pStyle w:val="a3"/>
        <w:numPr>
          <w:ilvl w:val="0"/>
          <w:numId w:val="8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/>
          <w:sz w:val="24"/>
          <w:szCs w:val="24"/>
          <w:rtl/>
        </w:rPr>
        <w:t xml:space="preserve">15% - הצגת </w:t>
      </w:r>
      <w:r w:rsidRPr="00726826">
        <w:rPr>
          <w:rFonts w:ascii="Times New Roman" w:hAnsi="Times New Roman" w:cs="David" w:hint="cs"/>
          <w:sz w:val="24"/>
          <w:szCs w:val="24"/>
          <w:rtl/>
        </w:rPr>
        <w:t>רפרט ומאמר ( כל סטודנט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/</w:t>
      </w:r>
      <w:proofErr w:type="spellStart"/>
      <w:r w:rsidR="008D73CC" w:rsidRPr="00726826">
        <w:rPr>
          <w:rFonts w:ascii="Times New Roman" w:hAnsi="Times New Roman" w:cs="David" w:hint="cs"/>
          <w:sz w:val="24"/>
          <w:szCs w:val="24"/>
          <w:rtl/>
        </w:rPr>
        <w:t>ית</w:t>
      </w:r>
      <w:proofErr w:type="spellEnd"/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 תת</w:t>
      </w:r>
      <w:r w:rsidRPr="00726826">
        <w:rPr>
          <w:rFonts w:ascii="Times New Roman" w:hAnsi="Times New Roman" w:cs="David" w:hint="cs"/>
          <w:sz w:val="24"/>
          <w:szCs w:val="24"/>
          <w:rtl/>
        </w:rPr>
        <w:t>בקש פעם אחת במהלך הסמינר להציג בעל פה , בחמש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D73CC" w:rsidRPr="00726826">
        <w:rPr>
          <w:rFonts w:ascii="Times New Roman" w:hAnsi="Times New Roman" w:cs="David"/>
          <w:sz w:val="24"/>
          <w:szCs w:val="24"/>
          <w:rtl/>
        </w:rPr>
        <w:t>–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 עשר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דקות, עיקרי מאמר אחד).  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 xml:space="preserve">בנוסף, יוצג </w:t>
      </w:r>
      <w:r w:rsidR="00A909E0" w:rsidRPr="00726826">
        <w:rPr>
          <w:rFonts w:ascii="Times New Roman" w:hAnsi="Times New Roman" w:cs="David"/>
          <w:sz w:val="24"/>
          <w:szCs w:val="24"/>
          <w:rtl/>
        </w:rPr>
        <w:t>רפרט בפני משתתפי הסמינר</w:t>
      </w:r>
      <w:r w:rsidR="00A909E0" w:rsidRPr="00726826">
        <w:rPr>
          <w:rFonts w:ascii="Times New Roman" w:hAnsi="Times New Roman" w:cs="David" w:hint="cs"/>
          <w:sz w:val="24"/>
          <w:szCs w:val="24"/>
          <w:rtl/>
        </w:rPr>
        <w:t xml:space="preserve"> (הרפרט יכלול: הצגת נושא העבודה עם הדגמה, שימוש בשני פריטי ביבליוגרפיה מסילבוס ה</w:t>
      </w:r>
      <w:r w:rsidRPr="00726826">
        <w:rPr>
          <w:rFonts w:ascii="Times New Roman" w:hAnsi="Times New Roman" w:cs="David" w:hint="cs"/>
          <w:sz w:val="24"/>
          <w:szCs w:val="24"/>
          <w:rtl/>
        </w:rPr>
        <w:t>חובה של ה</w:t>
      </w:r>
      <w:r w:rsidR="00A909E0" w:rsidRPr="00726826">
        <w:rPr>
          <w:rFonts w:ascii="Times New Roman" w:hAnsi="Times New Roman" w:cs="David" w:hint="cs"/>
          <w:sz w:val="24"/>
          <w:szCs w:val="24"/>
          <w:rtl/>
        </w:rPr>
        <w:t>קורס + שני פריטי ביבליוגרפיה עצמאיים שאותרו לצורך הנושא הספציפי)</w:t>
      </w:r>
      <w:r w:rsidR="00A909E0" w:rsidRPr="00726826">
        <w:rPr>
          <w:rFonts w:ascii="Times New Roman" w:hAnsi="Times New Roman" w:cs="David"/>
          <w:sz w:val="24"/>
          <w:szCs w:val="24"/>
          <w:rtl/>
        </w:rPr>
        <w:t>.</w:t>
      </w:r>
    </w:p>
    <w:p w:rsidR="00A909E0" w:rsidRDefault="00CE1EEA" w:rsidP="00A909E0">
      <w:pPr>
        <w:numPr>
          <w:ilvl w:val="0"/>
          <w:numId w:val="8"/>
        </w:numPr>
        <w:spacing w:after="0" w:line="240" w:lineRule="auto"/>
        <w:ind w:right="0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lastRenderedPageBreak/>
        <w:t>80</w:t>
      </w:r>
      <w:r w:rsidR="00A909E0" w:rsidRPr="00726826">
        <w:rPr>
          <w:rFonts w:ascii="Times New Roman" w:hAnsi="Times New Roman" w:cs="David"/>
          <w:sz w:val="24"/>
          <w:szCs w:val="24"/>
          <w:rtl/>
        </w:rPr>
        <w:t>% - הערכה של העבודה הסמינריונית הכתובה.</w:t>
      </w:r>
    </w:p>
    <w:p w:rsidR="00797965" w:rsidRDefault="00797965" w:rsidP="00797965">
      <w:pPr>
        <w:spacing w:after="0" w:line="240" w:lineRule="auto"/>
        <w:ind w:right="360"/>
        <w:rPr>
          <w:rFonts w:ascii="Times New Roman" w:hAnsi="Times New Roman" w:cs="David"/>
          <w:sz w:val="24"/>
          <w:szCs w:val="24"/>
          <w:rtl/>
        </w:rPr>
      </w:pPr>
    </w:p>
    <w:p w:rsidR="00797965" w:rsidRDefault="00797965" w:rsidP="00797965">
      <w:pPr>
        <w:rPr>
          <w:rFonts w:ascii="Times New Roman" w:hAnsi="Times New Roman" w:cs="David"/>
          <w:sz w:val="24"/>
          <w:szCs w:val="24"/>
          <w:rtl/>
        </w:rPr>
      </w:pPr>
    </w:p>
    <w:p w:rsidR="00797965" w:rsidRDefault="00797965" w:rsidP="00797965">
      <w:pPr>
        <w:rPr>
          <w:rFonts w:ascii="Times New Roman" w:hAnsi="Times New Roman" w:cs="David"/>
          <w:sz w:val="24"/>
          <w:szCs w:val="24"/>
          <w:rtl/>
        </w:rPr>
      </w:pPr>
    </w:p>
    <w:p w:rsidR="00797965" w:rsidRPr="00726826" w:rsidRDefault="00797965" w:rsidP="00797965">
      <w:pPr>
        <w:rPr>
          <w:rFonts w:ascii="Times New Roman" w:hAnsi="Times New Roman" w:cs="David"/>
          <w:sz w:val="24"/>
          <w:szCs w:val="24"/>
          <w:rtl/>
        </w:rPr>
      </w:pPr>
      <w:r w:rsidRPr="00797965">
        <w:rPr>
          <w:rFonts w:ascii="Times New Roman" w:hAnsi="Times New Roman" w:cs="David" w:hint="cs"/>
          <w:sz w:val="24"/>
          <w:szCs w:val="24"/>
          <w:rtl/>
        </w:rPr>
        <w:t>מועד הגשת עבודת הסמינר: 27/5/2015 .</w:t>
      </w:r>
    </w:p>
    <w:p w:rsidR="00797965" w:rsidRPr="00726826" w:rsidRDefault="00797965" w:rsidP="00797965">
      <w:pPr>
        <w:spacing w:after="0" w:line="240" w:lineRule="auto"/>
        <w:ind w:right="360"/>
        <w:rPr>
          <w:rFonts w:ascii="Times New Roman" w:hAnsi="Times New Roman" w:cs="David"/>
          <w:sz w:val="24"/>
          <w:szCs w:val="24"/>
          <w:rtl/>
        </w:rPr>
      </w:pPr>
    </w:p>
    <w:p w:rsidR="00A909E0" w:rsidRPr="00726826" w:rsidRDefault="00A909E0" w:rsidP="00A909E0">
      <w:pPr>
        <w:rPr>
          <w:rFonts w:ascii="Times New Roman" w:hAnsi="Times New Roman" w:cs="David"/>
          <w:sz w:val="24"/>
          <w:szCs w:val="24"/>
          <w:rtl/>
        </w:rPr>
      </w:pPr>
    </w:p>
    <w:p w:rsidR="009C7159" w:rsidRPr="00726826" w:rsidRDefault="009C7159" w:rsidP="009C7159">
      <w:pPr>
        <w:spacing w:before="100" w:beforeAutospacing="1" w:after="100" w:afterAutospacing="1" w:line="360" w:lineRule="auto"/>
        <w:jc w:val="both"/>
        <w:rPr>
          <w:rFonts w:ascii="Times New Roman" w:hAnsi="Times New Roman" w:cs="David"/>
          <w:color w:val="000000"/>
          <w:sz w:val="24"/>
          <w:szCs w:val="24"/>
          <w:rtl/>
        </w:rPr>
      </w:pP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ראשי פרקים של הקורס:</w:t>
      </w:r>
    </w:p>
    <w:p w:rsidR="009C7159" w:rsidRPr="00726826" w:rsidRDefault="009C7159" w:rsidP="00712B6A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David"/>
          <w:color w:val="000000"/>
          <w:sz w:val="24"/>
          <w:szCs w:val="24"/>
        </w:rPr>
      </w:pP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מושג הייצוג</w:t>
      </w:r>
      <w:r w:rsidR="00712B6A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-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למין משל המערה ועד </w:t>
      </w:r>
      <w:proofErr w:type="spellStart"/>
      <w:r w:rsidR="005B4CE4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ה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מאטריקס</w:t>
      </w:r>
      <w:proofErr w:type="spellEnd"/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, מערך המושגים: דימוי, תדמית, ייצוג, סטריאוטיפ, </w:t>
      </w:r>
      <w:proofErr w:type="spellStart"/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דיעה</w:t>
      </w:r>
      <w:proofErr w:type="spellEnd"/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קדומה, הכחדה סמלית,</w:t>
      </w:r>
      <w:r w:rsidR="008D73CC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הדרה,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נראות ובולטות</w:t>
      </w:r>
      <w:r w:rsidR="00AF315E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5C0102" w:rsidRPr="00726826" w:rsidRDefault="00AF315E" w:rsidP="00712B6A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David"/>
          <w:b/>
          <w:bCs/>
          <w:color w:val="000000"/>
          <w:sz w:val="24"/>
          <w:szCs w:val="24"/>
          <w:u w:val="single"/>
        </w:rPr>
      </w:pP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 גזע</w:t>
      </w:r>
      <w:r w:rsidR="00712B6A"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-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 הפוליטיקה של הייצוג</w:t>
      </w: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>,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שלבי התפתחות בדימויים  של קבוצות מיעוט, השתקפות הריבוד החברתי בעולם הבדיון של המדיה, המקרה של שחורים אמריקאים</w:t>
      </w:r>
      <w:r w:rsidR="005C0102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.</w:t>
      </w:r>
    </w:p>
    <w:p w:rsidR="00AF315E" w:rsidRPr="00726826" w:rsidRDefault="00AF315E" w:rsidP="00712B6A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David"/>
          <w:b/>
          <w:bCs/>
          <w:color w:val="000000"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מעמד</w:t>
      </w:r>
      <w:r w:rsidR="00712B6A"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-</w:t>
      </w: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ייצוגים של משלחי יד במדיה:</w:t>
      </w: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 xml:space="preserve"> 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המבנה הדמוגרפי התעסוקתי של הטלוויזיה, עיסוקים בולטים ומוצנעים, </w:t>
      </w:r>
      <w:r w:rsidRPr="00726826">
        <w:rPr>
          <w:rFonts w:ascii="Times New Roman" w:hAnsi="Times New Roman" w:cs="David" w:hint="cs"/>
          <w:color w:val="000000"/>
          <w:sz w:val="24"/>
          <w:szCs w:val="24"/>
        </w:rPr>
        <w:t xml:space="preserve"> 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המקרה של </w:t>
      </w:r>
      <w:r w:rsidR="00AD43AE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סוכני ביטוח ו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אנשי חינוך כ</w:t>
      </w:r>
      <w:r w:rsidR="00AD43AE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מייצגים </w:t>
      </w: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של המעמד הבינוני.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AF315E" w:rsidRPr="00726826" w:rsidRDefault="00AF315E" w:rsidP="00564792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 xml:space="preserve">לאום-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מיעוטים אתניים ולאומיים, </w:t>
      </w:r>
      <w:r w:rsidR="00BC3A47" w:rsidRPr="00726826">
        <w:rPr>
          <w:rFonts w:ascii="Times New Roman" w:hAnsi="Times New Roman" w:cs="David" w:hint="cs"/>
          <w:sz w:val="24"/>
          <w:szCs w:val="24"/>
          <w:rtl/>
        </w:rPr>
        <w:t xml:space="preserve">התפתחות היסטורית של מושג הלאום, ייצוגים כנשק וכביטוי לקונפליקט בין ישויות רחבות. </w:t>
      </w:r>
      <w:r w:rsidRPr="00726826">
        <w:rPr>
          <w:rFonts w:ascii="Times New Roman" w:hAnsi="Times New Roman" w:cs="David" w:hint="cs"/>
          <w:sz w:val="24"/>
          <w:szCs w:val="24"/>
          <w:rtl/>
        </w:rPr>
        <w:t>מקרה בוחן</w:t>
      </w:r>
      <w:r w:rsidR="005700EB" w:rsidRPr="00726826">
        <w:rPr>
          <w:rFonts w:ascii="Times New Roman" w:hAnsi="Times New Roman" w:cs="David" w:hint="cs"/>
          <w:sz w:val="24"/>
          <w:szCs w:val="24"/>
          <w:rtl/>
        </w:rPr>
        <w:t>: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ערבים בקולנוע הישראלי</w:t>
      </w:r>
      <w:r w:rsidR="008D73CC" w:rsidRPr="00726826">
        <w:rPr>
          <w:rFonts w:ascii="Times New Roman" w:hAnsi="Times New Roman" w:cs="David" w:hint="cs"/>
          <w:sz w:val="24"/>
          <w:szCs w:val="24"/>
          <w:rtl/>
        </w:rPr>
        <w:t>.</w:t>
      </w:r>
    </w:p>
    <w:p w:rsidR="00FC2745" w:rsidRPr="00726826" w:rsidRDefault="00AF315E" w:rsidP="00BC3A47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David"/>
          <w:color w:val="000000"/>
          <w:sz w:val="24"/>
          <w:szCs w:val="24"/>
        </w:rPr>
      </w:pPr>
      <w:r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u w:val="single"/>
          <w:rtl/>
        </w:rPr>
        <w:t>מגדר</w:t>
      </w:r>
      <w:r w:rsidR="00FC2745" w:rsidRPr="00726826">
        <w:rPr>
          <w:rFonts w:ascii="Times New Roman" w:hAnsi="Times New Roman" w:cs="David" w:hint="cs"/>
          <w:b/>
          <w:bCs/>
          <w:color w:val="000000"/>
          <w:sz w:val="24"/>
          <w:szCs w:val="24"/>
          <w:rtl/>
        </w:rPr>
        <w:t xml:space="preserve"> </w:t>
      </w:r>
      <w:r w:rsidR="00FC2745" w:rsidRPr="00726826">
        <w:rPr>
          <w:rFonts w:ascii="Times New Roman" w:hAnsi="Times New Roman" w:cs="David"/>
          <w:b/>
          <w:bCs/>
          <w:color w:val="000000"/>
          <w:sz w:val="24"/>
          <w:szCs w:val="24"/>
          <w:rtl/>
        </w:rPr>
        <w:t>–</w:t>
      </w:r>
      <w:r w:rsidR="00BC3A47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 </w:t>
      </w:r>
      <w:r w:rsidR="00511E9F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מהי נשיות </w:t>
      </w:r>
      <w:r w:rsidR="00726826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ויופי </w:t>
      </w:r>
      <w:r w:rsidR="00511E9F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לשיטתה של המדיה, התרומה הפמיניסטית בחקר ייצוגי מגדר למחקר התקשורתי, הזדהות ופרשנות של קהל הצופות.  </w:t>
      </w:r>
    </w:p>
    <w:p w:rsidR="007808D6" w:rsidRPr="00726826" w:rsidRDefault="007808D6" w:rsidP="007808D6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C71A93" w:rsidRPr="00726826" w:rsidRDefault="00C71A93" w:rsidP="007808D6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David"/>
          <w:color w:val="000000"/>
          <w:sz w:val="24"/>
          <w:szCs w:val="24"/>
          <w:rtl/>
        </w:rPr>
      </w:pPr>
    </w:p>
    <w:tbl>
      <w:tblPr>
        <w:tblStyle w:val="a5"/>
        <w:bidiVisual/>
        <w:tblW w:w="8386" w:type="dxa"/>
        <w:tblLook w:val="04A0" w:firstRow="1" w:lastRow="0" w:firstColumn="1" w:lastColumn="0" w:noHBand="0" w:noVBand="1"/>
      </w:tblPr>
      <w:tblGrid>
        <w:gridCol w:w="1351"/>
        <w:gridCol w:w="1502"/>
        <w:gridCol w:w="2416"/>
        <w:gridCol w:w="1770"/>
        <w:gridCol w:w="1347"/>
      </w:tblGrid>
      <w:tr w:rsidR="00A60754" w:rsidRPr="00726826" w:rsidTr="005700EB">
        <w:tc>
          <w:tcPr>
            <w:tcW w:w="1417" w:type="dxa"/>
          </w:tcPr>
          <w:p w:rsidR="00A60754" w:rsidRPr="00726826" w:rsidRDefault="006F4BDE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26826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מימד</w:t>
            </w:r>
            <w:proofErr w:type="spellEnd"/>
          </w:p>
        </w:tc>
        <w:tc>
          <w:tcPr>
            <w:tcW w:w="1538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חקר מקרה</w:t>
            </w:r>
          </w:p>
        </w:tc>
        <w:tc>
          <w:tcPr>
            <w:tcW w:w="2416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מאמר תיאורטי</w:t>
            </w:r>
          </w:p>
        </w:tc>
        <w:tc>
          <w:tcPr>
            <w:tcW w:w="1606" w:type="dxa"/>
          </w:tcPr>
          <w:p w:rsidR="00A60754" w:rsidRPr="00726826" w:rsidRDefault="00A60754" w:rsidP="0060503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מאמר אמפירי</w:t>
            </w:r>
          </w:p>
        </w:tc>
        <w:tc>
          <w:tcPr>
            <w:tcW w:w="1409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שיטת מחקר</w:t>
            </w:r>
          </w:p>
        </w:tc>
      </w:tr>
      <w:tr w:rsidR="00A60754" w:rsidRPr="00726826" w:rsidTr="005700EB">
        <w:tc>
          <w:tcPr>
            <w:tcW w:w="1417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גזע</w:t>
            </w:r>
          </w:p>
        </w:tc>
        <w:tc>
          <w:tcPr>
            <w:tcW w:w="1538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שחורים אמריקאים</w:t>
            </w:r>
          </w:p>
        </w:tc>
        <w:tc>
          <w:tcPr>
            <w:tcW w:w="2416" w:type="dxa"/>
          </w:tcPr>
          <w:p w:rsidR="00A60754" w:rsidRPr="00726826" w:rsidRDefault="00A60754" w:rsidP="00C23410">
            <w:pPr>
              <w:pStyle w:val="APAreference"/>
              <w:spacing w:line="360" w:lineRule="auto"/>
              <w:ind w:left="360" w:right="480" w:firstLine="0"/>
              <w:rPr>
                <w:rFonts w:cs="David"/>
              </w:rPr>
            </w:pPr>
            <w:r w:rsidRPr="00726826">
              <w:rPr>
                <w:rFonts w:cs="David"/>
              </w:rPr>
              <w:t xml:space="preserve">Cohen, J. (2001).  Defining Identification:  </w:t>
            </w:r>
          </w:p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06" w:type="dxa"/>
          </w:tcPr>
          <w:p w:rsidR="00A60754" w:rsidRPr="00726826" w:rsidRDefault="00A60754" w:rsidP="00605033">
            <w:pPr>
              <w:keepNext/>
              <w:keepLines/>
              <w:bidi w:val="0"/>
              <w:jc w:val="both"/>
              <w:rPr>
                <w:rFonts w:ascii="Times New Roman" w:hAnsi="Times New Roman" w:cs="David"/>
                <w:sz w:val="24"/>
                <w:szCs w:val="24"/>
              </w:rPr>
            </w:pPr>
            <w:r w:rsidRPr="00726826">
              <w:rPr>
                <w:rFonts w:ascii="Times New Roman" w:hAnsi="Times New Roman" w:cs="David"/>
                <w:sz w:val="24"/>
                <w:szCs w:val="24"/>
              </w:rPr>
              <w:t xml:space="preserve">Ford,   portrayals of African-Americans on person perception.  </w:t>
            </w:r>
          </w:p>
          <w:p w:rsidR="00A60754" w:rsidRPr="00726826" w:rsidRDefault="00A60754" w:rsidP="00605033">
            <w:pPr>
              <w:pStyle w:val="APAreference"/>
              <w:spacing w:line="360" w:lineRule="auto"/>
              <w:ind w:left="360" w:right="26" w:firstLine="0"/>
              <w:rPr>
                <w:rFonts w:cs="David"/>
                <w:color w:val="000000"/>
                <w:rtl/>
              </w:rPr>
            </w:pPr>
          </w:p>
        </w:tc>
        <w:tc>
          <w:tcPr>
            <w:tcW w:w="1409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ניסוי</w:t>
            </w:r>
          </w:p>
        </w:tc>
      </w:tr>
      <w:tr w:rsidR="00A60754" w:rsidRPr="00726826" w:rsidTr="005700EB">
        <w:trPr>
          <w:trHeight w:val="1266"/>
        </w:trPr>
        <w:tc>
          <w:tcPr>
            <w:tcW w:w="1417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מעמד</w:t>
            </w:r>
          </w:p>
        </w:tc>
        <w:tc>
          <w:tcPr>
            <w:tcW w:w="1538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משלחי יד</w:t>
            </w:r>
          </w:p>
        </w:tc>
        <w:tc>
          <w:tcPr>
            <w:tcW w:w="2416" w:type="dxa"/>
          </w:tcPr>
          <w:p w:rsidR="00A60754" w:rsidRPr="00726826" w:rsidRDefault="00A60754" w:rsidP="00C23410">
            <w:pPr>
              <w:pStyle w:val="APAreference"/>
              <w:spacing w:line="360" w:lineRule="auto"/>
              <w:ind w:left="360" w:right="26" w:firstLine="0"/>
              <w:rPr>
                <w:rFonts w:cs="David"/>
              </w:rPr>
            </w:pPr>
            <w:proofErr w:type="gramStart"/>
            <w:r w:rsidRPr="00726826">
              <w:rPr>
                <w:rFonts w:cs="David"/>
              </w:rPr>
              <w:t>Lowery,</w:t>
            </w:r>
            <w:proofErr w:type="gramEnd"/>
            <w:r w:rsidRPr="00726826">
              <w:rPr>
                <w:rFonts w:cs="David"/>
              </w:rPr>
              <w:t xml:space="preserve"> &amp; </w:t>
            </w:r>
            <w:proofErr w:type="spellStart"/>
            <w:r w:rsidRPr="00726826">
              <w:rPr>
                <w:rFonts w:cs="David"/>
              </w:rPr>
              <w:t>DeFluer</w:t>
            </w:r>
            <w:proofErr w:type="spellEnd"/>
            <w:r w:rsidRPr="00726826">
              <w:rPr>
                <w:rFonts w:cs="David"/>
              </w:rPr>
              <w:t xml:space="preserve"> Television in the lives of our children: The early years.  </w:t>
            </w:r>
          </w:p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06" w:type="dxa"/>
          </w:tcPr>
          <w:p w:rsidR="00A60754" w:rsidRPr="00726826" w:rsidRDefault="00A60754" w:rsidP="0060503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/>
                <w:sz w:val="24"/>
                <w:szCs w:val="24"/>
              </w:rPr>
              <w:lastRenderedPageBreak/>
              <w:t>Kumar, Media, Class, and Democracy: The Struggle over  UPS Strike”</w:t>
            </w:r>
          </w:p>
        </w:tc>
        <w:tc>
          <w:tcPr>
            <w:tcW w:w="1409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ניתוח מסגור</w:t>
            </w:r>
          </w:p>
        </w:tc>
      </w:tr>
      <w:tr w:rsidR="00A60754" w:rsidRPr="00726826" w:rsidTr="005700EB">
        <w:tc>
          <w:tcPr>
            <w:tcW w:w="1417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>לאום</w:t>
            </w:r>
          </w:p>
        </w:tc>
        <w:tc>
          <w:tcPr>
            <w:tcW w:w="1538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ערבים</w:t>
            </w:r>
          </w:p>
        </w:tc>
        <w:tc>
          <w:tcPr>
            <w:tcW w:w="2416" w:type="dxa"/>
          </w:tcPr>
          <w:p w:rsidR="00A60754" w:rsidRPr="00726826" w:rsidRDefault="00A60754" w:rsidP="00E363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726826">
              <w:rPr>
                <w:rFonts w:ascii="Times New Roman" w:hAnsi="Times New Roman" w:cs="David" w:hint="cs"/>
                <w:sz w:val="24"/>
                <w:szCs w:val="24"/>
              </w:rPr>
              <w:t>H</w:t>
            </w:r>
            <w:r w:rsidRPr="00726826">
              <w:rPr>
                <w:rFonts w:ascii="Times New Roman" w:hAnsi="Times New Roman" w:cs="David"/>
                <w:sz w:val="24"/>
                <w:szCs w:val="24"/>
              </w:rPr>
              <w:t>ovland</w:t>
            </w:r>
            <w:proofErr w:type="spellEnd"/>
            <w:r w:rsidRPr="00726826">
              <w:rPr>
                <w:rFonts w:ascii="Times New Roman" w:hAnsi="Times New Roman" w:cs="David"/>
                <w:sz w:val="24"/>
                <w:szCs w:val="24"/>
              </w:rPr>
              <w:t xml:space="preserve">, </w:t>
            </w:r>
            <w:r w:rsidRPr="00726826">
              <w:rPr>
                <w:rFonts w:ascii="Times New Roman" w:hAnsi="Times New Roman" w:cs="David"/>
                <w:iCs/>
                <w:sz w:val="24"/>
                <w:szCs w:val="24"/>
              </w:rPr>
              <w:t>Psychological studies in opinion change</w:t>
            </w:r>
            <w:r w:rsidRPr="00726826">
              <w:rPr>
                <w:rFonts w:ascii="Times New Roman" w:hAnsi="Times New Roman" w:cs="David"/>
                <w:sz w:val="24"/>
                <w:szCs w:val="24"/>
              </w:rPr>
              <w:t xml:space="preserve">. </w:t>
            </w:r>
          </w:p>
        </w:tc>
        <w:tc>
          <w:tcPr>
            <w:tcW w:w="1606" w:type="dxa"/>
          </w:tcPr>
          <w:p w:rsidR="00A60754" w:rsidRPr="00726826" w:rsidRDefault="006F4BDE" w:rsidP="006F4BDE">
            <w:pPr>
              <w:keepLines/>
              <w:bidi w:val="0"/>
              <w:spacing w:line="288" w:lineRule="auto"/>
              <w:ind w:left="567"/>
              <w:rPr>
                <w:rFonts w:asciiTheme="majorBidi" w:hAnsiTheme="majorBidi" w:cs="David"/>
                <w:color w:val="000000"/>
                <w:sz w:val="24"/>
                <w:szCs w:val="24"/>
                <w:rtl/>
              </w:rPr>
            </w:pPr>
            <w:proofErr w:type="spellStart"/>
            <w:r w:rsidRPr="00726826">
              <w:rPr>
                <w:rFonts w:asciiTheme="majorBidi" w:eastAsia="Times New Roman" w:hAnsiTheme="majorBidi" w:cs="David"/>
                <w:color w:val="222222"/>
                <w:sz w:val="24"/>
                <w:szCs w:val="24"/>
              </w:rPr>
              <w:t>Persson</w:t>
            </w:r>
            <w:proofErr w:type="spellEnd"/>
            <w:r w:rsidRPr="00726826">
              <w:rPr>
                <w:rFonts w:asciiTheme="majorBidi" w:eastAsia="Times New Roman" w:hAnsiTheme="majorBidi" w:cs="David"/>
                <w:color w:val="222222"/>
                <w:sz w:val="24"/>
                <w:szCs w:val="24"/>
              </w:rPr>
              <w:t>, College Students’ Attitudes Toward Blacks and Arabs Following</w:t>
            </w:r>
          </w:p>
        </w:tc>
        <w:tc>
          <w:tcPr>
            <w:tcW w:w="1409" w:type="dxa"/>
          </w:tcPr>
          <w:p w:rsidR="00A60754" w:rsidRPr="00726826" w:rsidRDefault="005700EB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סקר</w:t>
            </w:r>
            <w:r w:rsidR="006F4BDE"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 xml:space="preserve"> עמדות</w:t>
            </w:r>
          </w:p>
        </w:tc>
      </w:tr>
      <w:tr w:rsidR="00A60754" w:rsidRPr="00726826" w:rsidTr="00932984">
        <w:trPr>
          <w:trHeight w:val="1511"/>
        </w:trPr>
        <w:tc>
          <w:tcPr>
            <w:tcW w:w="1417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מגדר</w:t>
            </w:r>
          </w:p>
        </w:tc>
        <w:tc>
          <w:tcPr>
            <w:tcW w:w="1538" w:type="dxa"/>
          </w:tcPr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נשים</w:t>
            </w:r>
          </w:p>
        </w:tc>
        <w:tc>
          <w:tcPr>
            <w:tcW w:w="2416" w:type="dxa"/>
          </w:tcPr>
          <w:p w:rsidR="00A60754" w:rsidRPr="00726826" w:rsidRDefault="00377934" w:rsidP="00C23410">
            <w:pPr>
              <w:jc w:val="right"/>
              <w:rPr>
                <w:rFonts w:ascii="Times New Roman" w:hAnsi="Times New Roman" w:cs="David"/>
                <w:sz w:val="24"/>
                <w:szCs w:val="24"/>
                <w:rtl/>
              </w:rPr>
            </w:pPr>
            <w:proofErr w:type="spellStart"/>
            <w:r w:rsidRPr="00726826">
              <w:rPr>
                <w:rFonts w:asciiTheme="majorBidi" w:hAnsiTheme="majorBidi" w:cs="David"/>
                <w:sz w:val="24"/>
                <w:szCs w:val="24"/>
              </w:rPr>
              <w:t>Cirksena</w:t>
            </w:r>
            <w:proofErr w:type="spellEnd"/>
            <w:r w:rsidRPr="00726826">
              <w:rPr>
                <w:rFonts w:asciiTheme="majorBidi" w:hAnsiTheme="majorBidi" w:cs="David"/>
                <w:sz w:val="24"/>
                <w:szCs w:val="24"/>
              </w:rPr>
              <w:t xml:space="preserve">, K. &amp; </w:t>
            </w:r>
            <w:proofErr w:type="spellStart"/>
            <w:r w:rsidRPr="00726826">
              <w:rPr>
                <w:rFonts w:asciiTheme="majorBidi" w:hAnsiTheme="majorBidi" w:cs="David"/>
                <w:sz w:val="24"/>
                <w:szCs w:val="24"/>
              </w:rPr>
              <w:t>Cuklanz</w:t>
            </w:r>
            <w:proofErr w:type="spellEnd"/>
            <w:r w:rsidRPr="00726826">
              <w:rPr>
                <w:rFonts w:asciiTheme="majorBidi" w:hAnsiTheme="majorBidi" w:cs="David"/>
                <w:sz w:val="24"/>
                <w:szCs w:val="24"/>
              </w:rPr>
              <w:t>, L. (1992). Male is to female as</w:t>
            </w:r>
          </w:p>
          <w:p w:rsidR="00A60754" w:rsidRPr="00726826" w:rsidRDefault="00A6075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06" w:type="dxa"/>
          </w:tcPr>
          <w:p w:rsidR="00A60754" w:rsidRPr="00726826" w:rsidRDefault="00A60754" w:rsidP="00605033">
            <w:pPr>
              <w:jc w:val="right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726826">
              <w:rPr>
                <w:rFonts w:ascii="Times New Roman" w:hAnsi="Times New Roman" w:cs="David"/>
                <w:color w:val="222222"/>
                <w:sz w:val="24"/>
                <w:szCs w:val="24"/>
              </w:rPr>
              <w:t>Shifman</w:t>
            </w:r>
            <w:proofErr w:type="spellEnd"/>
            <w:r w:rsidRPr="00726826">
              <w:rPr>
                <w:rFonts w:ascii="Times New Roman" w:hAnsi="Times New Roman" w:cs="David"/>
                <w:color w:val="222222"/>
                <w:sz w:val="24"/>
                <w:szCs w:val="24"/>
              </w:rPr>
              <w:t xml:space="preserve">, L., &amp; </w:t>
            </w:r>
            <w:proofErr w:type="spellStart"/>
            <w:r w:rsidRPr="00726826">
              <w:rPr>
                <w:rFonts w:ascii="Times New Roman" w:hAnsi="Times New Roman" w:cs="David"/>
                <w:color w:val="222222"/>
                <w:sz w:val="24"/>
                <w:szCs w:val="24"/>
              </w:rPr>
              <w:t>Lemish</w:t>
            </w:r>
            <w:proofErr w:type="spellEnd"/>
            <w:r w:rsidRPr="00726826">
              <w:rPr>
                <w:rFonts w:ascii="Times New Roman" w:hAnsi="Times New Roman" w:cs="David"/>
                <w:color w:val="222222"/>
                <w:sz w:val="24"/>
                <w:szCs w:val="24"/>
              </w:rPr>
              <w:t xml:space="preserve">, D. (2011). “Mars and Venus” in virtual space: </w:t>
            </w:r>
          </w:p>
        </w:tc>
        <w:tc>
          <w:tcPr>
            <w:tcW w:w="1409" w:type="dxa"/>
          </w:tcPr>
          <w:p w:rsidR="00A60754" w:rsidRPr="00726826" w:rsidRDefault="00A60754" w:rsidP="00ED644E">
            <w:pPr>
              <w:jc w:val="right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ניתוח תוכן</w:t>
            </w:r>
          </w:p>
        </w:tc>
      </w:tr>
      <w:tr w:rsidR="00932984" w:rsidRPr="00726826" w:rsidTr="005700EB">
        <w:trPr>
          <w:trHeight w:val="781"/>
        </w:trPr>
        <w:tc>
          <w:tcPr>
            <w:tcW w:w="1417" w:type="dxa"/>
          </w:tcPr>
          <w:p w:rsidR="00932984" w:rsidRPr="00726826" w:rsidRDefault="00932984" w:rsidP="00F7734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  <w:r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 xml:space="preserve">מגדר- </w:t>
            </w:r>
            <w:r w:rsidR="00F77349" w:rsidRPr="00726826">
              <w:rPr>
                <w:rFonts w:ascii="Times New Roman" w:hAnsi="Times New Roman" w:cs="David" w:hint="cs"/>
                <w:color w:val="000000"/>
                <w:sz w:val="24"/>
                <w:szCs w:val="24"/>
                <w:rtl/>
              </w:rPr>
              <w:t>הגוף</w:t>
            </w:r>
          </w:p>
        </w:tc>
        <w:tc>
          <w:tcPr>
            <w:tcW w:w="1538" w:type="dxa"/>
          </w:tcPr>
          <w:p w:rsidR="00932984" w:rsidRPr="00726826" w:rsidRDefault="00932984" w:rsidP="00FC274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6" w:type="dxa"/>
          </w:tcPr>
          <w:p w:rsidR="00932984" w:rsidRPr="00726826" w:rsidRDefault="00F77349" w:rsidP="00FC2745">
            <w:pPr>
              <w:spacing w:before="100" w:beforeAutospacing="1" w:after="100" w:afterAutospacing="1" w:line="360" w:lineRule="auto"/>
              <w:jc w:val="both"/>
              <w:rPr>
                <w:rFonts w:asciiTheme="majorBidi" w:hAnsiTheme="majorBidi" w:cs="David"/>
                <w:sz w:val="24"/>
                <w:szCs w:val="24"/>
                <w:lang w:val="en"/>
              </w:rPr>
            </w:pPr>
            <w:proofErr w:type="spellStart"/>
            <w:r w:rsidRPr="00726826">
              <w:rPr>
                <w:rStyle w:val="style11"/>
                <w:rFonts w:cs="David"/>
                <w:lang w:val="en"/>
              </w:rPr>
              <w:t>Bartky</w:t>
            </w:r>
            <w:proofErr w:type="gramStart"/>
            <w:r w:rsidRPr="00726826">
              <w:rPr>
                <w:rStyle w:val="style11"/>
                <w:rFonts w:cs="David"/>
                <w:lang w:val="en"/>
              </w:rPr>
              <w:t>,S</w:t>
            </w:r>
            <w:proofErr w:type="spellEnd"/>
            <w:proofErr w:type="gramEnd"/>
            <w:r w:rsidRPr="00726826">
              <w:rPr>
                <w:rStyle w:val="style11"/>
                <w:rFonts w:cs="David"/>
                <w:lang w:val="en"/>
              </w:rPr>
              <w:t>. L. (1990). Foucault, Femininity</w:t>
            </w:r>
          </w:p>
        </w:tc>
        <w:tc>
          <w:tcPr>
            <w:tcW w:w="1606" w:type="dxa"/>
          </w:tcPr>
          <w:p w:rsidR="00932984" w:rsidRPr="00726826" w:rsidRDefault="00932984" w:rsidP="00605033">
            <w:pPr>
              <w:jc w:val="right"/>
              <w:rPr>
                <w:rFonts w:ascii="Times New Roman" w:hAnsi="Times New Roman" w:cs="David"/>
                <w:sz w:val="24"/>
                <w:szCs w:val="24"/>
              </w:rPr>
            </w:pPr>
            <w:r w:rsidRPr="00726826">
              <w:rPr>
                <w:rFonts w:ascii="Times New Roman" w:hAnsi="Times New Roman" w:cs="David"/>
                <w:color w:val="222222"/>
                <w:sz w:val="24"/>
                <w:szCs w:val="24"/>
              </w:rPr>
              <w:t xml:space="preserve"> </w:t>
            </w:r>
          </w:p>
          <w:p w:rsidR="00932984" w:rsidRPr="00726826" w:rsidRDefault="00932984" w:rsidP="0060503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David"/>
                <w:color w:val="222222"/>
                <w:sz w:val="24"/>
                <w:szCs w:val="24"/>
              </w:rPr>
            </w:pPr>
          </w:p>
        </w:tc>
        <w:tc>
          <w:tcPr>
            <w:tcW w:w="1409" w:type="dxa"/>
          </w:tcPr>
          <w:p w:rsidR="00932984" w:rsidRPr="00726826" w:rsidRDefault="00932984" w:rsidP="00ED644E">
            <w:pPr>
              <w:jc w:val="right"/>
              <w:rPr>
                <w:rFonts w:ascii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</w:tbl>
    <w:p w:rsidR="00AE7190" w:rsidRPr="00726826" w:rsidRDefault="00AE7190" w:rsidP="00AE7190">
      <w:pPr>
        <w:spacing w:before="100" w:beforeAutospacing="1" w:after="100" w:afterAutospacing="1" w:line="360" w:lineRule="auto"/>
        <w:rPr>
          <w:rFonts w:ascii="Times New Roman" w:hAnsi="Times New Roman" w:cs="David"/>
          <w:color w:val="000000"/>
          <w:sz w:val="24"/>
          <w:szCs w:val="24"/>
          <w:rtl/>
        </w:rPr>
      </w:pPr>
    </w:p>
    <w:p w:rsidR="00FC2745" w:rsidRPr="00726826" w:rsidRDefault="00C23410" w:rsidP="00D7146B">
      <w:pPr>
        <w:spacing w:before="100" w:beforeAutospacing="1" w:after="100" w:afterAutospacing="1" w:line="240" w:lineRule="auto"/>
        <w:rPr>
          <w:rFonts w:asciiTheme="majorBidi" w:hAnsiTheme="majorBidi" w:cs="David"/>
          <w:color w:val="000000"/>
          <w:sz w:val="24"/>
          <w:szCs w:val="24"/>
          <w:rtl/>
        </w:rPr>
      </w:pPr>
      <w:r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 xml:space="preserve">רשימת מקורות- </w:t>
      </w:r>
      <w:r w:rsidR="00AE7190" w:rsidRPr="00726826">
        <w:rPr>
          <w:rFonts w:ascii="Times New Roman" w:hAnsi="Times New Roman" w:cs="David" w:hint="cs"/>
          <w:color w:val="000000"/>
          <w:sz w:val="24"/>
          <w:szCs w:val="24"/>
          <w:rtl/>
        </w:rPr>
        <w:t>לקריאה לקראת השיעור</w:t>
      </w:r>
    </w:p>
    <w:p w:rsidR="00296F44" w:rsidRPr="00726826" w:rsidRDefault="00296F44" w:rsidP="00D7146B">
      <w:pPr>
        <w:spacing w:before="100" w:beforeAutospacing="1" w:after="100" w:afterAutospacing="1" w:line="240" w:lineRule="auto"/>
        <w:rPr>
          <w:rFonts w:asciiTheme="majorBidi" w:hAnsiTheme="majorBidi" w:cs="David"/>
          <w:color w:val="000000"/>
          <w:sz w:val="24"/>
          <w:szCs w:val="24"/>
          <w:rtl/>
        </w:rPr>
      </w:pPr>
    </w:p>
    <w:p w:rsidR="00196BFB" w:rsidRPr="00726826" w:rsidRDefault="00196BFB" w:rsidP="0080343B">
      <w:pPr>
        <w:pStyle w:val="paragraphstyle3"/>
        <w:rPr>
          <w:rFonts w:cs="David"/>
          <w:sz w:val="24"/>
          <w:szCs w:val="24"/>
          <w:lang w:val="en"/>
        </w:rPr>
      </w:pPr>
      <w:proofErr w:type="spellStart"/>
      <w:r w:rsidRPr="00726826">
        <w:rPr>
          <w:rStyle w:val="style11"/>
          <w:rFonts w:cs="David"/>
          <w:lang w:val="en"/>
        </w:rPr>
        <w:t>Bartky</w:t>
      </w:r>
      <w:proofErr w:type="gramStart"/>
      <w:r w:rsidRPr="00726826">
        <w:rPr>
          <w:rStyle w:val="style11"/>
          <w:rFonts w:cs="David"/>
          <w:lang w:val="en"/>
        </w:rPr>
        <w:t>,S</w:t>
      </w:r>
      <w:proofErr w:type="spellEnd"/>
      <w:proofErr w:type="gramEnd"/>
      <w:r w:rsidRPr="00726826">
        <w:rPr>
          <w:rStyle w:val="style11"/>
          <w:rFonts w:cs="David"/>
          <w:lang w:val="en"/>
        </w:rPr>
        <w:t>. L. (</w:t>
      </w:r>
      <w:r w:rsidR="0080343B" w:rsidRPr="00726826">
        <w:rPr>
          <w:rStyle w:val="style11"/>
          <w:rFonts w:cs="David"/>
          <w:lang w:val="en"/>
        </w:rPr>
        <w:t>1990).</w:t>
      </w:r>
      <w:r w:rsidRPr="00726826">
        <w:rPr>
          <w:rStyle w:val="style11"/>
          <w:rFonts w:cs="David"/>
          <w:lang w:val="en"/>
        </w:rPr>
        <w:t xml:space="preserve"> Foucault, Femininity, and the Modernization of Patriarchal Power, in K. </w:t>
      </w:r>
      <w:proofErr w:type="spellStart"/>
      <w:r w:rsidRPr="00726826">
        <w:rPr>
          <w:rStyle w:val="style11"/>
          <w:rFonts w:cs="David"/>
          <w:lang w:val="en"/>
        </w:rPr>
        <w:t>Conboy</w:t>
      </w:r>
      <w:proofErr w:type="spellEnd"/>
      <w:r w:rsidRPr="00726826">
        <w:rPr>
          <w:rStyle w:val="style11"/>
          <w:rFonts w:cs="David"/>
          <w:lang w:val="en"/>
        </w:rPr>
        <w:t xml:space="preserve">, N. Medina &amp; S. </w:t>
      </w:r>
      <w:proofErr w:type="spellStart"/>
      <w:r w:rsidRPr="00726826">
        <w:rPr>
          <w:rStyle w:val="style11"/>
          <w:rFonts w:cs="David"/>
          <w:lang w:val="en"/>
        </w:rPr>
        <w:t>Stanbury</w:t>
      </w:r>
      <w:proofErr w:type="spellEnd"/>
      <w:r w:rsidRPr="00726826">
        <w:rPr>
          <w:rStyle w:val="style11"/>
          <w:rFonts w:cs="David"/>
          <w:lang w:val="en"/>
        </w:rPr>
        <w:t xml:space="preserve"> (eds.) Writing on the Body: Female Embodiment &amp; Feminist Theory (1997, New York: Columbia university Press), pp. 129-154</w:t>
      </w:r>
    </w:p>
    <w:p w:rsidR="00196BFB" w:rsidRPr="00726826" w:rsidRDefault="00196BFB" w:rsidP="00196BFB">
      <w:pPr>
        <w:bidi w:val="0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  <w:lang w:val="en"/>
        </w:rPr>
      </w:pPr>
    </w:p>
    <w:p w:rsidR="00D7146B" w:rsidRPr="00726826" w:rsidRDefault="00D7146B" w:rsidP="00D7146B">
      <w:pPr>
        <w:bidi w:val="0"/>
        <w:spacing w:line="240" w:lineRule="auto"/>
        <w:ind w:left="-142" w:hanging="272"/>
        <w:rPr>
          <w:rFonts w:asciiTheme="majorBidi" w:hAnsiTheme="majorBidi" w:cs="David"/>
          <w:sz w:val="24"/>
          <w:szCs w:val="24"/>
        </w:rPr>
      </w:pPr>
      <w:r w:rsidRPr="00726826">
        <w:rPr>
          <w:rFonts w:asciiTheme="majorBidi" w:hAnsiTheme="majorBidi" w:cs="David"/>
          <w:sz w:val="24"/>
          <w:szCs w:val="24"/>
        </w:rPr>
        <w:t xml:space="preserve">     </w:t>
      </w:r>
      <w:proofErr w:type="spellStart"/>
      <w:proofErr w:type="gramStart"/>
      <w:r w:rsidR="005E4A29" w:rsidRPr="00726826">
        <w:rPr>
          <w:rFonts w:asciiTheme="majorBidi" w:hAnsiTheme="majorBidi" w:cs="David"/>
          <w:sz w:val="24"/>
          <w:szCs w:val="24"/>
        </w:rPr>
        <w:t>Cirksena</w:t>
      </w:r>
      <w:proofErr w:type="spellEnd"/>
      <w:r w:rsidR="005E4A29" w:rsidRPr="00726826">
        <w:rPr>
          <w:rFonts w:asciiTheme="majorBidi" w:hAnsiTheme="majorBidi" w:cs="David"/>
          <w:sz w:val="24"/>
          <w:szCs w:val="24"/>
        </w:rPr>
        <w:t xml:space="preserve">, K. &amp; </w:t>
      </w:r>
      <w:proofErr w:type="spellStart"/>
      <w:r w:rsidR="005E4A29" w:rsidRPr="00726826">
        <w:rPr>
          <w:rFonts w:asciiTheme="majorBidi" w:hAnsiTheme="majorBidi" w:cs="David"/>
          <w:sz w:val="24"/>
          <w:szCs w:val="24"/>
        </w:rPr>
        <w:t>Cuklanz</w:t>
      </w:r>
      <w:proofErr w:type="spellEnd"/>
      <w:r w:rsidR="005E4A29" w:rsidRPr="00726826">
        <w:rPr>
          <w:rFonts w:asciiTheme="majorBidi" w:hAnsiTheme="majorBidi" w:cs="David"/>
          <w:sz w:val="24"/>
          <w:szCs w:val="24"/>
        </w:rPr>
        <w:t>, L. (1992).</w:t>
      </w:r>
      <w:proofErr w:type="gramEnd"/>
      <w:r w:rsidR="005E4A29" w:rsidRPr="00726826">
        <w:rPr>
          <w:rFonts w:asciiTheme="majorBidi" w:hAnsiTheme="majorBidi" w:cs="David"/>
          <w:sz w:val="24"/>
          <w:szCs w:val="24"/>
        </w:rPr>
        <w:t xml:space="preserve"> Male is to female as____ is to _____: A guided </w:t>
      </w:r>
      <w:r w:rsidRPr="00726826">
        <w:rPr>
          <w:rFonts w:asciiTheme="majorBidi" w:hAnsiTheme="majorBidi" w:cs="David"/>
          <w:sz w:val="24"/>
          <w:szCs w:val="24"/>
        </w:rPr>
        <w:t xml:space="preserve">tour of five   </w:t>
      </w:r>
      <w:proofErr w:type="gramStart"/>
      <w:r w:rsidRPr="00726826">
        <w:rPr>
          <w:rFonts w:asciiTheme="majorBidi" w:hAnsiTheme="majorBidi" w:cs="David"/>
          <w:sz w:val="24"/>
          <w:szCs w:val="24"/>
        </w:rPr>
        <w:t>feminist  frameworks</w:t>
      </w:r>
      <w:proofErr w:type="gramEnd"/>
      <w:r w:rsidRPr="00726826">
        <w:rPr>
          <w:rFonts w:asciiTheme="majorBidi" w:hAnsiTheme="majorBidi" w:cs="David"/>
          <w:sz w:val="24"/>
          <w:szCs w:val="24"/>
        </w:rPr>
        <w:t xml:space="preserve"> for communication studies. In L. </w:t>
      </w:r>
      <w:proofErr w:type="spellStart"/>
      <w:r w:rsidRPr="00726826">
        <w:rPr>
          <w:rFonts w:asciiTheme="majorBidi" w:hAnsiTheme="majorBidi" w:cs="David"/>
          <w:sz w:val="24"/>
          <w:szCs w:val="24"/>
        </w:rPr>
        <w:t>Rakow</w:t>
      </w:r>
      <w:proofErr w:type="spellEnd"/>
      <w:r w:rsidRPr="00726826">
        <w:rPr>
          <w:rFonts w:asciiTheme="majorBidi" w:hAnsiTheme="majorBidi" w:cs="David"/>
          <w:sz w:val="24"/>
          <w:szCs w:val="24"/>
        </w:rPr>
        <w:t xml:space="preserve"> (Ed.,), </w:t>
      </w:r>
      <w:r w:rsidRPr="00726826">
        <w:rPr>
          <w:rFonts w:asciiTheme="majorBidi" w:hAnsiTheme="majorBidi" w:cs="David"/>
          <w:i/>
          <w:iCs/>
          <w:sz w:val="24"/>
          <w:szCs w:val="24"/>
        </w:rPr>
        <w:t xml:space="preserve">Women making meaning: </w:t>
      </w:r>
      <w:proofErr w:type="gramStart"/>
      <w:r w:rsidRPr="00726826">
        <w:rPr>
          <w:rFonts w:asciiTheme="majorBidi" w:hAnsiTheme="majorBidi" w:cs="David"/>
          <w:i/>
          <w:iCs/>
          <w:sz w:val="24"/>
          <w:szCs w:val="24"/>
        </w:rPr>
        <w:t>New  feminist</w:t>
      </w:r>
      <w:proofErr w:type="gramEnd"/>
      <w:r w:rsidRPr="00726826">
        <w:rPr>
          <w:rFonts w:asciiTheme="majorBidi" w:hAnsiTheme="majorBidi" w:cs="David"/>
          <w:i/>
          <w:iCs/>
          <w:sz w:val="24"/>
          <w:szCs w:val="24"/>
        </w:rPr>
        <w:t xml:space="preserve"> directions in communication </w:t>
      </w:r>
      <w:r w:rsidRPr="00726826">
        <w:rPr>
          <w:rFonts w:asciiTheme="majorBidi" w:hAnsiTheme="majorBidi" w:cs="David"/>
          <w:sz w:val="24"/>
          <w:szCs w:val="24"/>
        </w:rPr>
        <w:t>(pp. 18-44). New York: Routledge.</w:t>
      </w:r>
    </w:p>
    <w:p w:rsidR="005E4A29" w:rsidRPr="00726826" w:rsidRDefault="005E4A29" w:rsidP="00D7146B">
      <w:pPr>
        <w:pStyle w:val="a6"/>
        <w:tabs>
          <w:tab w:val="clear" w:pos="4153"/>
          <w:tab w:val="clear" w:pos="8306"/>
        </w:tabs>
        <w:bidi w:val="0"/>
        <w:jc w:val="both"/>
        <w:rPr>
          <w:rFonts w:cs="David"/>
        </w:rPr>
      </w:pPr>
    </w:p>
    <w:p w:rsidR="005E4A29" w:rsidRPr="00726826" w:rsidRDefault="005E4A29" w:rsidP="00D7146B">
      <w:pPr>
        <w:pStyle w:val="APAreference"/>
        <w:spacing w:line="360" w:lineRule="auto"/>
        <w:ind w:right="26" w:firstLine="0"/>
        <w:jc w:val="both"/>
        <w:rPr>
          <w:rFonts w:cs="David"/>
        </w:rPr>
      </w:pPr>
      <w:r w:rsidRPr="00726826">
        <w:rPr>
          <w:rFonts w:cs="David" w:hint="cs"/>
          <w:rtl/>
        </w:rPr>
        <w:t xml:space="preserve"> </w:t>
      </w:r>
      <w:r w:rsidRPr="00726826">
        <w:rPr>
          <w:rFonts w:cs="David"/>
        </w:rPr>
        <w:t xml:space="preserve">Cohen, J. (2001).  </w:t>
      </w:r>
      <w:proofErr w:type="gramStart"/>
      <w:r w:rsidRPr="00726826">
        <w:rPr>
          <w:rFonts w:cs="David"/>
        </w:rPr>
        <w:t>Defining Identification:  A Theoretical Look at the Identification of Audiences with Media Characters.</w:t>
      </w:r>
      <w:proofErr w:type="gramEnd"/>
      <w:r w:rsidRPr="00726826">
        <w:rPr>
          <w:rFonts w:cs="David"/>
        </w:rPr>
        <w:t xml:space="preserve">  </w:t>
      </w:r>
      <w:r w:rsidRPr="00726826">
        <w:rPr>
          <w:rFonts w:cs="David"/>
          <w:i/>
          <w:iCs/>
        </w:rPr>
        <w:t>Mass Communication &amp; Society, 4</w:t>
      </w:r>
      <w:r w:rsidRPr="00726826">
        <w:rPr>
          <w:rFonts w:cs="David"/>
        </w:rPr>
        <w:t>(3), 245-264.</w:t>
      </w:r>
    </w:p>
    <w:p w:rsidR="005E4A29" w:rsidRPr="00726826" w:rsidRDefault="005E4A29" w:rsidP="00D7146B">
      <w:pPr>
        <w:pStyle w:val="APAreference"/>
        <w:spacing w:line="360" w:lineRule="auto"/>
        <w:ind w:right="26" w:firstLine="0"/>
        <w:jc w:val="both"/>
        <w:rPr>
          <w:rFonts w:cs="David"/>
        </w:rPr>
      </w:pPr>
    </w:p>
    <w:p w:rsidR="005E4A29" w:rsidRPr="00726826" w:rsidRDefault="005E4A29" w:rsidP="00D7146B">
      <w:pPr>
        <w:keepNext/>
        <w:keepLines/>
        <w:bidi w:val="0"/>
        <w:jc w:val="both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/>
          <w:sz w:val="24"/>
          <w:szCs w:val="24"/>
        </w:rPr>
        <w:lastRenderedPageBreak/>
        <w:t xml:space="preserve">Ford, T. E. (1997). </w:t>
      </w:r>
      <w:proofErr w:type="gramStart"/>
      <w:r w:rsidRPr="00726826">
        <w:rPr>
          <w:rFonts w:ascii="Times New Roman" w:hAnsi="Times New Roman" w:cs="David"/>
          <w:sz w:val="24"/>
          <w:szCs w:val="24"/>
        </w:rPr>
        <w:t>Effects of stereotypical television portrayals of African-Americans on person perception.</w:t>
      </w:r>
      <w:proofErr w:type="gramEnd"/>
      <w:r w:rsidRPr="00726826">
        <w:rPr>
          <w:rFonts w:ascii="Times New Roman" w:hAnsi="Times New Roman" w:cs="David"/>
          <w:sz w:val="24"/>
          <w:szCs w:val="24"/>
        </w:rPr>
        <w:t xml:space="preserve"> </w:t>
      </w:r>
      <w:proofErr w:type="gramStart"/>
      <w:r w:rsidRPr="00726826">
        <w:rPr>
          <w:rFonts w:ascii="Times New Roman" w:hAnsi="Times New Roman" w:cs="David"/>
          <w:sz w:val="24"/>
          <w:szCs w:val="24"/>
        </w:rPr>
        <w:t>Social psychology quarterly, 266-275.</w:t>
      </w:r>
      <w:proofErr w:type="gramEnd"/>
    </w:p>
    <w:p w:rsidR="005E4A29" w:rsidRPr="00726826" w:rsidRDefault="005E4A29" w:rsidP="00D7146B">
      <w:pPr>
        <w:keepNext/>
        <w:keepLines/>
        <w:bidi w:val="0"/>
        <w:jc w:val="both"/>
        <w:rPr>
          <w:rFonts w:ascii="Times New Roman" w:hAnsi="Times New Roman" w:cs="David"/>
          <w:sz w:val="24"/>
          <w:szCs w:val="24"/>
        </w:rPr>
      </w:pPr>
    </w:p>
    <w:p w:rsidR="005E4A29" w:rsidRPr="00726826" w:rsidRDefault="005E4A29" w:rsidP="00D7146B">
      <w:pPr>
        <w:bidi w:val="0"/>
        <w:spacing w:before="100" w:beforeAutospacing="1" w:after="100" w:afterAutospacing="1" w:line="360" w:lineRule="auto"/>
        <w:jc w:val="both"/>
        <w:rPr>
          <w:rFonts w:ascii="Times New Roman" w:hAnsi="Times New Roman" w:cs="David"/>
          <w:color w:val="000000"/>
          <w:sz w:val="24"/>
          <w:szCs w:val="24"/>
          <w:rtl/>
        </w:rPr>
      </w:pPr>
      <w:proofErr w:type="spellStart"/>
      <w:proofErr w:type="gramStart"/>
      <w:r w:rsidRPr="00726826">
        <w:rPr>
          <w:rFonts w:ascii="Times New Roman" w:hAnsi="Times New Roman" w:cs="David"/>
          <w:sz w:val="24"/>
          <w:szCs w:val="24"/>
        </w:rPr>
        <w:t>Hovland</w:t>
      </w:r>
      <w:proofErr w:type="spellEnd"/>
      <w:r w:rsidRPr="00726826">
        <w:rPr>
          <w:rFonts w:ascii="Times New Roman" w:hAnsi="Times New Roman" w:cs="David"/>
          <w:sz w:val="24"/>
          <w:szCs w:val="24"/>
        </w:rPr>
        <w:t>, C. L., Janis, I. L., &amp; Kelley, H. H. (1957).</w:t>
      </w:r>
      <w:proofErr w:type="gramEnd"/>
      <w:r w:rsidRPr="00726826">
        <w:rPr>
          <w:rFonts w:ascii="Times New Roman" w:hAnsi="Times New Roman" w:cs="David"/>
          <w:sz w:val="24"/>
          <w:szCs w:val="24"/>
        </w:rPr>
        <w:t xml:space="preserve">  </w:t>
      </w:r>
      <w:r w:rsidRPr="00726826">
        <w:rPr>
          <w:rFonts w:ascii="Times New Roman" w:hAnsi="Times New Roman" w:cs="David"/>
          <w:i/>
          <w:iCs/>
          <w:sz w:val="24"/>
          <w:szCs w:val="24"/>
        </w:rPr>
        <w:t>Communication and Persuasion: Psychological studies in opinion change</w:t>
      </w:r>
      <w:r w:rsidRPr="00726826">
        <w:rPr>
          <w:rFonts w:ascii="Times New Roman" w:hAnsi="Times New Roman" w:cs="David"/>
          <w:sz w:val="24"/>
          <w:szCs w:val="24"/>
        </w:rPr>
        <w:t>. New Haven, Ct.: Yale University Press. (pp. 1-19,</w:t>
      </w:r>
    </w:p>
    <w:p w:rsidR="005E4A29" w:rsidRPr="00726826" w:rsidRDefault="005E4A29" w:rsidP="00D7146B">
      <w:pPr>
        <w:keepLines/>
        <w:tabs>
          <w:tab w:val="num" w:pos="567"/>
        </w:tabs>
        <w:bidi w:val="0"/>
        <w:spacing w:after="0" w:line="288" w:lineRule="auto"/>
        <w:jc w:val="both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/>
          <w:sz w:val="24"/>
          <w:szCs w:val="24"/>
        </w:rPr>
        <w:t xml:space="preserve">Kumar, K. (2001).” Mass Media, Class, and Democracy: The Struggle over Newspaper Representation of the UPS Strike” </w:t>
      </w:r>
      <w:r w:rsidRPr="00726826">
        <w:rPr>
          <w:rFonts w:ascii="Times New Roman" w:hAnsi="Times New Roman" w:cs="David"/>
          <w:i/>
          <w:iCs/>
          <w:sz w:val="24"/>
          <w:szCs w:val="24"/>
        </w:rPr>
        <w:t>Critical Studies in Media Communication</w:t>
      </w:r>
      <w:r w:rsidRPr="00726826">
        <w:rPr>
          <w:rFonts w:ascii="Times New Roman" w:hAnsi="Times New Roman" w:cs="David"/>
          <w:sz w:val="24"/>
          <w:szCs w:val="24"/>
        </w:rPr>
        <w:t xml:space="preserve">, </w:t>
      </w:r>
      <w:proofErr w:type="spellStart"/>
      <w:r w:rsidRPr="00726826">
        <w:rPr>
          <w:rFonts w:ascii="Times New Roman" w:hAnsi="Times New Roman" w:cs="David"/>
          <w:sz w:val="24"/>
          <w:szCs w:val="24"/>
        </w:rPr>
        <w:t>Vol</w:t>
      </w:r>
      <w:proofErr w:type="spellEnd"/>
      <w:r w:rsidRPr="00726826">
        <w:rPr>
          <w:rFonts w:ascii="Times New Roman" w:hAnsi="Times New Roman" w:cs="David"/>
          <w:sz w:val="24"/>
          <w:szCs w:val="24"/>
        </w:rPr>
        <w:t xml:space="preserve"> 18, No 3, September, pp. 285-302</w:t>
      </w:r>
    </w:p>
    <w:p w:rsidR="005E4A29" w:rsidRPr="00726826" w:rsidRDefault="005E4A29" w:rsidP="00D7146B">
      <w:pPr>
        <w:keepLines/>
        <w:tabs>
          <w:tab w:val="num" w:pos="567"/>
        </w:tabs>
        <w:bidi w:val="0"/>
        <w:spacing w:after="0" w:line="288" w:lineRule="auto"/>
        <w:jc w:val="both"/>
        <w:rPr>
          <w:rFonts w:ascii="Times New Roman" w:hAnsi="Times New Roman" w:cs="David"/>
          <w:sz w:val="24"/>
          <w:szCs w:val="24"/>
        </w:rPr>
      </w:pPr>
    </w:p>
    <w:p w:rsidR="005E4A29" w:rsidRPr="00726826" w:rsidRDefault="005E4A29" w:rsidP="00D7146B">
      <w:pPr>
        <w:pStyle w:val="APAreference"/>
        <w:spacing w:line="240" w:lineRule="auto"/>
        <w:ind w:right="28" w:firstLine="0"/>
        <w:jc w:val="both"/>
        <w:rPr>
          <w:rFonts w:cs="David"/>
        </w:rPr>
      </w:pPr>
      <w:r w:rsidRPr="00726826">
        <w:rPr>
          <w:rFonts w:cs="David"/>
        </w:rPr>
        <w:t xml:space="preserve">Lowery, S. A. &amp; </w:t>
      </w:r>
      <w:proofErr w:type="spellStart"/>
      <w:proofErr w:type="gramStart"/>
      <w:r w:rsidRPr="00726826">
        <w:rPr>
          <w:rFonts w:cs="David"/>
        </w:rPr>
        <w:t>DeFluer</w:t>
      </w:r>
      <w:proofErr w:type="spellEnd"/>
      <w:r w:rsidRPr="00726826">
        <w:rPr>
          <w:rFonts w:cs="David"/>
        </w:rPr>
        <w:t xml:space="preserve"> ,</w:t>
      </w:r>
      <w:proofErr w:type="gramEnd"/>
      <w:r w:rsidRPr="00726826">
        <w:rPr>
          <w:rFonts w:cs="David"/>
        </w:rPr>
        <w:t xml:space="preserve"> M. L. (Eds., 1995). </w:t>
      </w:r>
      <w:proofErr w:type="gramStart"/>
      <w:r w:rsidRPr="00726826">
        <w:rPr>
          <w:rFonts w:cs="David"/>
          <w:i/>
          <w:iCs/>
        </w:rPr>
        <w:t>Milestones in Mass Communication Research.</w:t>
      </w:r>
      <w:proofErr w:type="gramEnd"/>
      <w:r w:rsidRPr="00726826">
        <w:rPr>
          <w:rFonts w:cs="David"/>
        </w:rPr>
        <w:t xml:space="preserve"> NY: Longman. Ch. 11 Television in the lives of our children: The early years. </w:t>
      </w:r>
    </w:p>
    <w:p w:rsidR="005E4A29" w:rsidRPr="00726826" w:rsidRDefault="005E4A29" w:rsidP="00D7146B">
      <w:pPr>
        <w:pStyle w:val="APAreference"/>
        <w:spacing w:line="360" w:lineRule="auto"/>
        <w:ind w:right="26" w:firstLine="0"/>
        <w:jc w:val="both"/>
        <w:rPr>
          <w:rFonts w:cs="David"/>
        </w:rPr>
      </w:pPr>
      <w:r w:rsidRPr="00726826">
        <w:rPr>
          <w:rFonts w:cs="David"/>
        </w:rPr>
        <w:t xml:space="preserve"> </w:t>
      </w:r>
    </w:p>
    <w:p w:rsidR="005E4A29" w:rsidRPr="00726826" w:rsidRDefault="005E4A29" w:rsidP="00D7146B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color w:val="222222"/>
          <w:sz w:val="24"/>
          <w:szCs w:val="24"/>
        </w:rPr>
      </w:pPr>
      <w:proofErr w:type="spellStart"/>
      <w:proofErr w:type="gramStart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>Persson</w:t>
      </w:r>
      <w:proofErr w:type="spellEnd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>, A. V., &amp; Musher</w:t>
      </w:r>
      <w:r w:rsidRPr="00726826">
        <w:rPr>
          <w:rFonts w:ascii="Cambria Math" w:eastAsia="Times New Roman" w:hAnsi="Cambria Math" w:cs="David"/>
          <w:color w:val="222222"/>
          <w:sz w:val="24"/>
          <w:szCs w:val="24"/>
        </w:rPr>
        <w:t>‐</w:t>
      </w:r>
      <w:proofErr w:type="spellStart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>Eizenman</w:t>
      </w:r>
      <w:proofErr w:type="spellEnd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>, D. R. (2005).</w:t>
      </w:r>
      <w:proofErr w:type="gramEnd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 xml:space="preserve"> College Students’ Attitudes </w:t>
      </w:r>
      <w:proofErr w:type="gramStart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>Toward</w:t>
      </w:r>
      <w:proofErr w:type="gramEnd"/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 xml:space="preserve"> Blacks and Arabs Following a Terrorist Attack as a Function of Varying Levels of Media Exposure1. </w:t>
      </w:r>
      <w:r w:rsidRPr="00726826">
        <w:rPr>
          <w:rFonts w:ascii="Times New Roman" w:eastAsia="Times New Roman" w:hAnsi="Times New Roman" w:cs="David"/>
          <w:i/>
          <w:iCs/>
          <w:color w:val="222222"/>
          <w:sz w:val="24"/>
          <w:szCs w:val="24"/>
        </w:rPr>
        <w:t>Journal of Applied Social Psychology</w:t>
      </w:r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 xml:space="preserve">, </w:t>
      </w:r>
      <w:r w:rsidRPr="00726826">
        <w:rPr>
          <w:rFonts w:ascii="Times New Roman" w:eastAsia="Times New Roman" w:hAnsi="Times New Roman" w:cs="David"/>
          <w:i/>
          <w:iCs/>
          <w:color w:val="222222"/>
          <w:sz w:val="24"/>
          <w:szCs w:val="24"/>
        </w:rPr>
        <w:t>35</w:t>
      </w:r>
      <w:r w:rsidRPr="00726826">
        <w:rPr>
          <w:rFonts w:ascii="Times New Roman" w:eastAsia="Times New Roman" w:hAnsi="Times New Roman" w:cs="David"/>
          <w:color w:val="222222"/>
          <w:sz w:val="24"/>
          <w:szCs w:val="24"/>
        </w:rPr>
        <w:t>(9), 1879-1892.</w:t>
      </w:r>
    </w:p>
    <w:p w:rsidR="005E4A29" w:rsidRPr="00726826" w:rsidRDefault="005E4A29" w:rsidP="00D7146B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color w:val="222222"/>
          <w:sz w:val="24"/>
          <w:szCs w:val="24"/>
        </w:rPr>
      </w:pPr>
    </w:p>
    <w:p w:rsidR="005E4A29" w:rsidRPr="00726826" w:rsidRDefault="005E4A29" w:rsidP="00D7146B">
      <w:pPr>
        <w:bidi w:val="0"/>
        <w:spacing w:line="240" w:lineRule="auto"/>
        <w:jc w:val="both"/>
        <w:rPr>
          <w:rFonts w:ascii="Times New Roman" w:hAnsi="Times New Roman" w:cs="David"/>
          <w:color w:val="222222"/>
          <w:sz w:val="24"/>
          <w:szCs w:val="24"/>
        </w:rPr>
      </w:pPr>
      <w:proofErr w:type="spellStart"/>
      <w:proofErr w:type="gramStart"/>
      <w:r w:rsidRPr="00726826">
        <w:rPr>
          <w:rFonts w:ascii="Times New Roman" w:hAnsi="Times New Roman" w:cs="David"/>
          <w:color w:val="222222"/>
          <w:sz w:val="24"/>
          <w:szCs w:val="24"/>
        </w:rPr>
        <w:t>Shifman</w:t>
      </w:r>
      <w:proofErr w:type="spellEnd"/>
      <w:r w:rsidRPr="00726826">
        <w:rPr>
          <w:rFonts w:ascii="Times New Roman" w:hAnsi="Times New Roman" w:cs="David"/>
          <w:color w:val="222222"/>
          <w:sz w:val="24"/>
          <w:szCs w:val="24"/>
        </w:rPr>
        <w:t xml:space="preserve">, L., &amp; </w:t>
      </w:r>
      <w:proofErr w:type="spellStart"/>
      <w:r w:rsidRPr="00726826">
        <w:rPr>
          <w:rFonts w:ascii="Times New Roman" w:hAnsi="Times New Roman" w:cs="David"/>
          <w:color w:val="222222"/>
          <w:sz w:val="24"/>
          <w:szCs w:val="24"/>
        </w:rPr>
        <w:t>Lemish</w:t>
      </w:r>
      <w:proofErr w:type="spellEnd"/>
      <w:r w:rsidRPr="00726826">
        <w:rPr>
          <w:rFonts w:ascii="Times New Roman" w:hAnsi="Times New Roman" w:cs="David"/>
          <w:color w:val="222222"/>
          <w:sz w:val="24"/>
          <w:szCs w:val="24"/>
        </w:rPr>
        <w:t>, D. (2011).</w:t>
      </w:r>
      <w:proofErr w:type="gramEnd"/>
      <w:r w:rsidRPr="00726826">
        <w:rPr>
          <w:rFonts w:ascii="Times New Roman" w:hAnsi="Times New Roman" w:cs="David"/>
          <w:color w:val="222222"/>
          <w:sz w:val="24"/>
          <w:szCs w:val="24"/>
        </w:rPr>
        <w:t xml:space="preserve"> “Mars and Venus” in virtual space: Post-feminist humor and the Internet. </w:t>
      </w:r>
      <w:r w:rsidRPr="00726826">
        <w:rPr>
          <w:rFonts w:ascii="Times New Roman" w:hAnsi="Times New Roman" w:cs="David"/>
          <w:i/>
          <w:iCs/>
          <w:color w:val="222222"/>
          <w:sz w:val="24"/>
          <w:szCs w:val="24"/>
        </w:rPr>
        <w:t>Critical Studies in Media Communication</w:t>
      </w:r>
      <w:r w:rsidRPr="00726826">
        <w:rPr>
          <w:rFonts w:ascii="Times New Roman" w:hAnsi="Times New Roman" w:cs="David"/>
          <w:color w:val="222222"/>
          <w:sz w:val="24"/>
          <w:szCs w:val="24"/>
        </w:rPr>
        <w:t xml:space="preserve">, </w:t>
      </w:r>
      <w:r w:rsidRPr="00726826">
        <w:rPr>
          <w:rFonts w:ascii="Times New Roman" w:hAnsi="Times New Roman" w:cs="David"/>
          <w:i/>
          <w:iCs/>
          <w:color w:val="222222"/>
          <w:sz w:val="24"/>
          <w:szCs w:val="24"/>
        </w:rPr>
        <w:t>28</w:t>
      </w:r>
      <w:r w:rsidRPr="00726826">
        <w:rPr>
          <w:rFonts w:ascii="Times New Roman" w:hAnsi="Times New Roman" w:cs="David"/>
          <w:color w:val="222222"/>
          <w:sz w:val="24"/>
          <w:szCs w:val="24"/>
        </w:rPr>
        <w:t>(3), 253-273.</w:t>
      </w:r>
      <w:r w:rsidRPr="00726826">
        <w:rPr>
          <w:rFonts w:ascii="Times New Roman" w:hAnsi="Times New Roman" w:cs="David"/>
          <w:color w:val="222222"/>
          <w:sz w:val="24"/>
          <w:szCs w:val="24"/>
          <w:rtl/>
        </w:rPr>
        <w:t>‏</w:t>
      </w:r>
    </w:p>
    <w:p w:rsidR="00D7146B" w:rsidRPr="00726826" w:rsidRDefault="00D7146B" w:rsidP="00D7146B">
      <w:pPr>
        <w:bidi w:val="0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7146B" w:rsidRPr="00726826" w:rsidRDefault="00D7146B" w:rsidP="00D7146B">
      <w:pPr>
        <w:bidi w:val="0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D87E18" w:rsidRPr="00726826" w:rsidRDefault="00695F98" w:rsidP="005700EB">
      <w:pPr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726826">
        <w:rPr>
          <w:rFonts w:asciiTheme="minorBidi" w:hAnsiTheme="minorBidi" w:cs="David"/>
          <w:b/>
          <w:bCs/>
          <w:sz w:val="24"/>
          <w:szCs w:val="24"/>
          <w:rtl/>
        </w:rPr>
        <w:t>רשימ</w:t>
      </w:r>
      <w:r w:rsidR="00D87E18" w:rsidRPr="00726826">
        <w:rPr>
          <w:rFonts w:asciiTheme="minorBidi" w:hAnsiTheme="minorBidi" w:cs="David"/>
          <w:b/>
          <w:bCs/>
          <w:sz w:val="24"/>
          <w:szCs w:val="24"/>
          <w:rtl/>
        </w:rPr>
        <w:t>ת מקורות</w:t>
      </w:r>
      <w:r w:rsidR="00A03C75" w:rsidRPr="00726826">
        <w:rPr>
          <w:rFonts w:asciiTheme="minorBidi" w:hAnsiTheme="minorBidi" w:cs="David"/>
          <w:b/>
          <w:bCs/>
          <w:sz w:val="24"/>
          <w:szCs w:val="24"/>
          <w:rtl/>
        </w:rPr>
        <w:t xml:space="preserve"> עזר</w:t>
      </w:r>
    </w:p>
    <w:p w:rsidR="00D87E18" w:rsidRPr="00726826" w:rsidRDefault="00D87E18" w:rsidP="00B64650">
      <w:pPr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לנושא הייצוג באופן כללי</w:t>
      </w:r>
    </w:p>
    <w:p w:rsidR="001F4AD4" w:rsidRPr="00726826" w:rsidRDefault="00D87E18" w:rsidP="00695F98">
      <w:pPr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 </w:t>
      </w:r>
      <w:r w:rsidR="001F4AD4" w:rsidRPr="00726826">
        <w:rPr>
          <w:rFonts w:ascii="Times New Roman" w:hAnsi="Times New Roman" w:cs="David" w:hint="cs"/>
          <w:sz w:val="24"/>
          <w:szCs w:val="24"/>
          <w:rtl/>
        </w:rPr>
        <w:t xml:space="preserve">אפלטון, </w:t>
      </w:r>
      <w:r w:rsidR="001F4AD4" w:rsidRPr="00726826">
        <w:rPr>
          <w:rFonts w:ascii="Times New Roman" w:hAnsi="Times New Roman" w:cs="David" w:hint="cs"/>
          <w:i/>
          <w:iCs/>
          <w:sz w:val="24"/>
          <w:szCs w:val="24"/>
          <w:rtl/>
        </w:rPr>
        <w:t>כל כתבי אפלטון,</w:t>
      </w:r>
      <w:r w:rsidR="001F4AD4" w:rsidRPr="00726826">
        <w:rPr>
          <w:rFonts w:ascii="Times New Roman" w:hAnsi="Times New Roman" w:cs="David" w:hint="cs"/>
          <w:sz w:val="24"/>
          <w:szCs w:val="24"/>
          <w:rtl/>
        </w:rPr>
        <w:t xml:space="preserve"> .</w:t>
      </w:r>
      <w:r w:rsidR="001F4AD4" w:rsidRPr="00726826"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 </w:t>
      </w:r>
      <w:r w:rsidR="001F4AD4" w:rsidRPr="00726826">
        <w:rPr>
          <w:rFonts w:ascii="Times New Roman" w:hAnsi="Times New Roman" w:cs="David" w:hint="cs"/>
          <w:sz w:val="24"/>
          <w:szCs w:val="24"/>
          <w:rtl/>
        </w:rPr>
        <w:t xml:space="preserve">"משל המערה", </w:t>
      </w:r>
      <w:r w:rsidR="001F4AD4" w:rsidRPr="00726826"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 </w:t>
      </w:r>
      <w:r w:rsidR="001F4AD4" w:rsidRPr="00726826">
        <w:rPr>
          <w:rFonts w:ascii="Times New Roman" w:hAnsi="Times New Roman" w:cs="David" w:hint="cs"/>
          <w:sz w:val="24"/>
          <w:szCs w:val="24"/>
          <w:rtl/>
        </w:rPr>
        <w:t>"המדינה" כרך שני, עמודים 421-426. שוקן: ירושלים</w:t>
      </w:r>
    </w:p>
    <w:p w:rsidR="00442648" w:rsidRPr="00726826" w:rsidRDefault="00695F98" w:rsidP="00736618">
      <w:pPr>
        <w:jc w:val="both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442648" w:rsidRPr="00726826">
        <w:rPr>
          <w:rFonts w:ascii="Times New Roman" w:hAnsi="Times New Roman" w:cs="David" w:hint="cs"/>
          <w:sz w:val="24"/>
          <w:szCs w:val="24"/>
          <w:rtl/>
        </w:rPr>
        <w:t>טורין</w:t>
      </w:r>
      <w:proofErr w:type="spellEnd"/>
      <w:r w:rsidR="00442648" w:rsidRPr="00726826">
        <w:rPr>
          <w:rFonts w:ascii="Times New Roman" w:hAnsi="Times New Roman" w:cs="David" w:hint="cs"/>
          <w:sz w:val="24"/>
          <w:szCs w:val="24"/>
          <w:rtl/>
        </w:rPr>
        <w:t xml:space="preserve">, א. (2013) </w:t>
      </w:r>
      <w:r w:rsidR="00442648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ייצוגי מורים בתקשורת הישראלית</w:t>
      </w:r>
      <w:r w:rsidR="00442648" w:rsidRPr="00726826">
        <w:rPr>
          <w:rFonts w:ascii="Times New Roman" w:hAnsi="Times New Roman" w:cs="David" w:hint="cs"/>
          <w:sz w:val="24"/>
          <w:szCs w:val="24"/>
          <w:rtl/>
        </w:rPr>
        <w:t xml:space="preserve">. עמ' 5-15 תל אביב, מכון </w:t>
      </w:r>
      <w:proofErr w:type="spellStart"/>
      <w:r w:rsidR="00442648" w:rsidRPr="00726826">
        <w:rPr>
          <w:rFonts w:ascii="Times New Roman" w:hAnsi="Times New Roman" w:cs="David" w:hint="cs"/>
          <w:sz w:val="24"/>
          <w:szCs w:val="24"/>
          <w:rtl/>
        </w:rPr>
        <w:t>מופ"ת</w:t>
      </w:r>
      <w:proofErr w:type="spellEnd"/>
      <w:r w:rsidR="00442648" w:rsidRPr="00726826">
        <w:rPr>
          <w:rFonts w:ascii="Times New Roman" w:hAnsi="Times New Roman" w:cs="David" w:hint="cs"/>
          <w:sz w:val="24"/>
          <w:szCs w:val="24"/>
          <w:rtl/>
        </w:rPr>
        <w:t>.</w:t>
      </w:r>
    </w:p>
    <w:p w:rsidR="005C59BA" w:rsidRPr="00726826" w:rsidRDefault="00695F98" w:rsidP="005C59BA">
      <w:pPr>
        <w:jc w:val="both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5C59BA" w:rsidRPr="00726826">
        <w:rPr>
          <w:rFonts w:ascii="Times New Roman" w:hAnsi="Times New Roman" w:cs="David" w:hint="cs"/>
          <w:sz w:val="24"/>
          <w:szCs w:val="24"/>
          <w:rtl/>
        </w:rPr>
        <w:t>למיש</w:t>
      </w:r>
      <w:proofErr w:type="spellEnd"/>
      <w:r w:rsidR="005C59BA" w:rsidRPr="00726826">
        <w:rPr>
          <w:rFonts w:ascii="Times New Roman" w:hAnsi="Times New Roman" w:cs="David" w:hint="cs"/>
          <w:sz w:val="24"/>
          <w:szCs w:val="24"/>
          <w:rtl/>
        </w:rPr>
        <w:t xml:space="preserve">, ד. 2006. "דימויים בתקשורת". בתוך </w:t>
      </w:r>
      <w:r w:rsidR="005C59BA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אי/שוויון</w:t>
      </w:r>
      <w:r w:rsidR="005C59BA" w:rsidRPr="00726826">
        <w:rPr>
          <w:rFonts w:ascii="Times New Roman" w:hAnsi="Times New Roman" w:cs="David" w:hint="cs"/>
          <w:sz w:val="24"/>
          <w:szCs w:val="24"/>
          <w:rtl/>
        </w:rPr>
        <w:t xml:space="preserve">, בעריכת א. רם </w:t>
      </w:r>
      <w:proofErr w:type="spellStart"/>
      <w:r w:rsidR="005C59BA" w:rsidRPr="00726826">
        <w:rPr>
          <w:rFonts w:ascii="Times New Roman" w:hAnsi="Times New Roman" w:cs="David" w:hint="cs"/>
          <w:sz w:val="24"/>
          <w:szCs w:val="24"/>
          <w:rtl/>
        </w:rPr>
        <w:t>ונ</w:t>
      </w:r>
      <w:proofErr w:type="spellEnd"/>
      <w:r w:rsidR="005C59BA" w:rsidRPr="00726826">
        <w:rPr>
          <w:rFonts w:ascii="Times New Roman" w:hAnsi="Times New Roman" w:cs="David" w:hint="cs"/>
          <w:sz w:val="24"/>
          <w:szCs w:val="24"/>
          <w:rtl/>
        </w:rPr>
        <w:t>. ברקוביץ. ירושלים: ביאליק, עמ' 100-107.</w:t>
      </w:r>
    </w:p>
    <w:p w:rsidR="001E5D1F" w:rsidRPr="00726826" w:rsidRDefault="001E5D1F" w:rsidP="001E5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/>
          <w:sz w:val="24"/>
          <w:szCs w:val="24"/>
        </w:rPr>
        <w:t xml:space="preserve">Hall, Stuart. </w:t>
      </w:r>
      <w:r w:rsidRPr="00726826">
        <w:rPr>
          <w:rFonts w:ascii="Times New Roman" w:hAnsi="Times New Roman" w:cs="David"/>
          <w:i/>
          <w:iCs/>
          <w:sz w:val="24"/>
          <w:szCs w:val="24"/>
        </w:rPr>
        <w:t>Representation: Cultural Representations and Signifying Practices</w:t>
      </w:r>
      <w:r w:rsidRPr="00726826">
        <w:rPr>
          <w:rFonts w:ascii="Times New Roman" w:hAnsi="Times New Roman" w:cs="David"/>
          <w:sz w:val="24"/>
          <w:szCs w:val="24"/>
        </w:rPr>
        <w:t>. London: Sage in association with the Open University, 1997,</w:t>
      </w:r>
    </w:p>
    <w:p w:rsidR="001E5D1F" w:rsidRPr="00726826" w:rsidRDefault="001E5D1F" w:rsidP="001E5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  <w:proofErr w:type="gramStart"/>
      <w:r w:rsidRPr="00726826">
        <w:rPr>
          <w:rFonts w:ascii="Times New Roman" w:hAnsi="Times New Roman" w:cs="David"/>
          <w:sz w:val="24"/>
          <w:szCs w:val="24"/>
        </w:rPr>
        <w:t>Pages 1-13.</w:t>
      </w:r>
      <w:proofErr w:type="gramEnd"/>
    </w:p>
    <w:p w:rsidR="001E5D1F" w:rsidRPr="00726826" w:rsidRDefault="001E5D1F" w:rsidP="001E5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</w:p>
    <w:p w:rsidR="001E5D1F" w:rsidRPr="00726826" w:rsidRDefault="001E5D1F" w:rsidP="001E5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</w:p>
    <w:p w:rsidR="001E5D1F" w:rsidRPr="00726826" w:rsidRDefault="001E5D1F" w:rsidP="001E5D1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eastAsia="Wingdings-Regular" w:hAnsi="Times New Roman" w:cs="David"/>
          <w:sz w:val="24"/>
          <w:szCs w:val="24"/>
        </w:rPr>
        <w:t xml:space="preserve"> </w:t>
      </w:r>
    </w:p>
    <w:p w:rsidR="00442648" w:rsidRPr="00726826" w:rsidRDefault="001E5D1F" w:rsidP="001E5D1F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/>
          <w:sz w:val="24"/>
          <w:szCs w:val="24"/>
        </w:rPr>
        <w:t xml:space="preserve"> </w:t>
      </w:r>
      <w:r w:rsidR="00442648"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ייצוגי מגדר </w:t>
      </w:r>
      <w:r w:rsidR="005C59BA"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 - נשים וגברים במראת המדיה</w:t>
      </w:r>
    </w:p>
    <w:p w:rsidR="00914A96" w:rsidRPr="00726826" w:rsidRDefault="00914A96" w:rsidP="00914A96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914A96" w:rsidRPr="00726826" w:rsidRDefault="00695F98" w:rsidP="00914A96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 </w:t>
      </w:r>
      <w:proofErr w:type="spellStart"/>
      <w:r w:rsidR="00914A96" w:rsidRPr="00726826">
        <w:rPr>
          <w:rFonts w:ascii="Times New Roman" w:hAnsi="Times New Roman" w:cs="David" w:hint="cs"/>
          <w:sz w:val="24"/>
          <w:szCs w:val="24"/>
          <w:rtl/>
        </w:rPr>
        <w:t>למיש</w:t>
      </w:r>
      <w:proofErr w:type="spellEnd"/>
      <w:r w:rsidR="00914A96" w:rsidRPr="00726826">
        <w:rPr>
          <w:rFonts w:ascii="Times New Roman" w:hAnsi="Times New Roman" w:cs="David" w:hint="cs"/>
          <w:sz w:val="24"/>
          <w:szCs w:val="24"/>
          <w:rtl/>
        </w:rPr>
        <w:t>, ד. (1997). שוות ערך תקשורתי:</w:t>
      </w:r>
      <w:r w:rsidR="005C59BA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מבט פמיניסטי על התקשורת הישראלית. בתוך: כספי, ד. (עורך). </w:t>
      </w:r>
      <w:r w:rsidR="00914A96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תקשורת ודמוקרטיה בישראל</w:t>
      </w:r>
      <w:r w:rsidR="005C59BA" w:rsidRPr="00726826">
        <w:rPr>
          <w:rFonts w:ascii="Times New Roman" w:hAnsi="Times New Roman" w:cs="David" w:hint="cs"/>
          <w:sz w:val="24"/>
          <w:szCs w:val="24"/>
          <w:rtl/>
        </w:rPr>
        <w:t>. ירושלים: ואן ליר,</w:t>
      </w:r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 הקיבוץ המאוחד. עמ' 119 </w:t>
      </w:r>
      <w:r w:rsidR="00914A96" w:rsidRPr="00726826">
        <w:rPr>
          <w:rFonts w:ascii="Times New Roman" w:hAnsi="Times New Roman" w:cs="David"/>
          <w:sz w:val="24"/>
          <w:szCs w:val="24"/>
          <w:rtl/>
        </w:rPr>
        <w:t>–</w:t>
      </w:r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 140. </w:t>
      </w:r>
    </w:p>
    <w:p w:rsidR="009B4852" w:rsidRPr="00726826" w:rsidRDefault="009B4852" w:rsidP="009B4852">
      <w:pPr>
        <w:spacing w:after="120" w:line="360" w:lineRule="auto"/>
        <w:rPr>
          <w:rFonts w:ascii="Times New Roman" w:hAnsi="Times New Roman" w:cs="David"/>
          <w:sz w:val="24"/>
          <w:szCs w:val="24"/>
          <w:rtl/>
        </w:rPr>
      </w:pPr>
      <w:proofErr w:type="spellStart"/>
      <w:r w:rsidRPr="00726826">
        <w:rPr>
          <w:rFonts w:ascii="Times New Roman" w:hAnsi="Times New Roman" w:cs="David"/>
          <w:sz w:val="24"/>
          <w:szCs w:val="24"/>
          <w:rtl/>
        </w:rPr>
        <w:t>למיש</w:t>
      </w:r>
      <w:proofErr w:type="spellEnd"/>
      <w:r w:rsidRPr="00726826">
        <w:rPr>
          <w:rFonts w:ascii="Times New Roman" w:hAnsi="Times New Roman" w:cs="David"/>
          <w:sz w:val="24"/>
          <w:szCs w:val="24"/>
          <w:rtl/>
        </w:rPr>
        <w:t>, ד. (2002). המדיה, הזונה והמדונה. פנים 22, 83-93.</w:t>
      </w:r>
    </w:p>
    <w:p w:rsidR="00914A96" w:rsidRPr="00726826" w:rsidRDefault="00695F98" w:rsidP="00914A96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להב, ע. </w:t>
      </w:r>
      <w:proofErr w:type="spellStart"/>
      <w:r w:rsidR="00914A96" w:rsidRPr="00726826">
        <w:rPr>
          <w:rFonts w:ascii="Times New Roman" w:hAnsi="Times New Roman" w:cs="David" w:hint="cs"/>
          <w:sz w:val="24"/>
          <w:szCs w:val="24"/>
          <w:rtl/>
        </w:rPr>
        <w:t>ולמיש</w:t>
      </w:r>
      <w:proofErr w:type="spellEnd"/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, ד. (2003). "רומנטי, רגיש ובעל חוש הומור"? דימויי גברים בפרסומת הישראלית. </w:t>
      </w:r>
      <w:r w:rsidR="00914A96" w:rsidRPr="00726826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מגמות, </w:t>
      </w:r>
      <w:proofErr w:type="spellStart"/>
      <w:r w:rsidR="00914A96" w:rsidRPr="00726826">
        <w:rPr>
          <w:rFonts w:ascii="Times New Roman" w:hAnsi="Times New Roman" w:cs="David" w:hint="cs"/>
          <w:sz w:val="24"/>
          <w:szCs w:val="24"/>
          <w:u w:val="single"/>
          <w:rtl/>
        </w:rPr>
        <w:t>מב</w:t>
      </w:r>
      <w:proofErr w:type="spellEnd"/>
      <w:r w:rsidR="00914A96" w:rsidRPr="00726826">
        <w:rPr>
          <w:rFonts w:ascii="Times New Roman" w:hAnsi="Times New Roman" w:cs="David" w:hint="cs"/>
          <w:sz w:val="24"/>
          <w:szCs w:val="24"/>
          <w:u w:val="single"/>
          <w:rtl/>
        </w:rPr>
        <w:t>/4</w:t>
      </w:r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, עמ' 671 </w:t>
      </w:r>
      <w:r w:rsidR="00914A96" w:rsidRPr="00726826">
        <w:rPr>
          <w:rFonts w:ascii="Times New Roman" w:hAnsi="Times New Roman" w:cs="David"/>
          <w:sz w:val="24"/>
          <w:szCs w:val="24"/>
          <w:rtl/>
        </w:rPr>
        <w:t>–</w:t>
      </w:r>
      <w:r w:rsidR="00914A96" w:rsidRPr="00726826">
        <w:rPr>
          <w:rFonts w:ascii="Times New Roman" w:hAnsi="Times New Roman" w:cs="David" w:hint="cs"/>
          <w:sz w:val="24"/>
          <w:szCs w:val="24"/>
          <w:rtl/>
        </w:rPr>
        <w:t xml:space="preserve"> 691.</w:t>
      </w:r>
    </w:p>
    <w:p w:rsidR="00FA63B7" w:rsidRPr="00726826" w:rsidRDefault="00FA63B7" w:rsidP="00FA63B7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proofErr w:type="spellStart"/>
      <w:r w:rsidRPr="00726826">
        <w:rPr>
          <w:rFonts w:ascii="Times New Roman" w:hAnsi="Times New Roman" w:cs="David" w:hint="cs"/>
          <w:sz w:val="24"/>
          <w:szCs w:val="24"/>
          <w:rtl/>
        </w:rPr>
        <w:t>למיש</w:t>
      </w:r>
      <w:proofErr w:type="spellEnd"/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, ד. (2007). הפוליטיקה של הדרת מיעוט בתקשורת: דימויי נשים וסיקור האלימות נגדן. בתוך: כספי, ד. (עורך). </w:t>
      </w: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תקשורת ופוליטיקה בישראל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. ירושלים: ואן ליר, הקיבוץ המאוחד. עמ' 185 </w:t>
      </w:r>
      <w:r w:rsidR="009B4852" w:rsidRPr="00726826">
        <w:rPr>
          <w:rFonts w:ascii="Times New Roman" w:hAnsi="Times New Roman" w:cs="David"/>
          <w:sz w:val="24"/>
          <w:szCs w:val="24"/>
          <w:rtl/>
        </w:rPr>
        <w:t>–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207</w:t>
      </w:r>
    </w:p>
    <w:p w:rsidR="000B610D" w:rsidRPr="00726826" w:rsidRDefault="000B610D" w:rsidP="000B610D">
      <w:pPr>
        <w:rPr>
          <w:rFonts w:ascii="Times New Roman" w:hAnsi="Times New Roman" w:cs="David"/>
          <w:sz w:val="24"/>
          <w:szCs w:val="24"/>
        </w:rPr>
      </w:pPr>
      <w:r w:rsidRPr="00726826">
        <w:rPr>
          <w:rFonts w:ascii="Times New Roman" w:hAnsi="Times New Roman" w:cs="David"/>
          <w:sz w:val="24"/>
          <w:szCs w:val="24"/>
          <w:rtl/>
        </w:rPr>
        <w:t xml:space="preserve">וולף, נ. (2004). </w:t>
      </w:r>
      <w:r w:rsidRPr="00726826">
        <w:rPr>
          <w:rFonts w:ascii="Times New Roman" w:hAnsi="Times New Roman" w:cs="David"/>
          <w:i/>
          <w:iCs/>
          <w:sz w:val="24"/>
          <w:szCs w:val="24"/>
          <w:rtl/>
        </w:rPr>
        <w:t>מיתוס היופי</w:t>
      </w:r>
      <w:r w:rsidRPr="00726826">
        <w:rPr>
          <w:rFonts w:ascii="Times New Roman" w:hAnsi="Times New Roman" w:cs="David"/>
          <w:sz w:val="24"/>
          <w:szCs w:val="24"/>
          <w:rtl/>
        </w:rPr>
        <w:t>. תל אביב: הקיבוץ המאוחד. (לקריאה: עמ' 18-26).</w:t>
      </w:r>
    </w:p>
    <w:p w:rsidR="000B610D" w:rsidRPr="00726826" w:rsidRDefault="000B610D" w:rsidP="00914A96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914A96" w:rsidRPr="00726826" w:rsidRDefault="00914A96" w:rsidP="00365311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ייצוגים של גיל</w:t>
      </w:r>
    </w:p>
    <w:p w:rsidR="00365311" w:rsidRPr="00726826" w:rsidRDefault="00695F98" w:rsidP="003C3179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365311" w:rsidRPr="00726826">
        <w:rPr>
          <w:rFonts w:ascii="Times New Roman" w:hAnsi="Times New Roman" w:cs="David" w:hint="cs"/>
          <w:sz w:val="24"/>
          <w:szCs w:val="24"/>
          <w:rtl/>
        </w:rPr>
        <w:t>פירסט</w:t>
      </w:r>
      <w:proofErr w:type="spellEnd"/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, ע. </w:t>
      </w:r>
      <w:proofErr w:type="spellStart"/>
      <w:r w:rsidR="00365311" w:rsidRPr="00726826">
        <w:rPr>
          <w:rFonts w:ascii="Times New Roman" w:hAnsi="Times New Roman" w:cs="David"/>
          <w:sz w:val="24"/>
          <w:szCs w:val="24"/>
          <w:rtl/>
        </w:rPr>
        <w:t>ורמר-ביאל</w:t>
      </w:r>
      <w:proofErr w:type="spellEnd"/>
      <w:r w:rsidR="00365311" w:rsidRPr="00726826">
        <w:rPr>
          <w:rFonts w:ascii="Times New Roman" w:hAnsi="Times New Roman" w:cs="David"/>
          <w:sz w:val="24"/>
          <w:szCs w:val="24"/>
          <w:rtl/>
        </w:rPr>
        <w:t>,</w:t>
      </w:r>
      <w:r w:rsidR="00FA63B7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65311" w:rsidRPr="00726826">
        <w:rPr>
          <w:rFonts w:ascii="Times New Roman" w:hAnsi="Times New Roman" w:cs="David" w:hint="cs"/>
          <w:sz w:val="24"/>
          <w:szCs w:val="24"/>
          <w:rtl/>
        </w:rPr>
        <w:t>ש. (</w:t>
      </w:r>
      <w:r w:rsidR="00365311" w:rsidRPr="00726826">
        <w:rPr>
          <w:rFonts w:ascii="Times New Roman" w:hAnsi="Times New Roman" w:cs="David"/>
          <w:sz w:val="24"/>
          <w:szCs w:val="24"/>
          <w:rtl/>
        </w:rPr>
        <w:t>2008</w:t>
      </w:r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). </w:t>
      </w:r>
      <w:proofErr w:type="spellStart"/>
      <w:r w:rsidR="00365311" w:rsidRPr="00726826">
        <w:rPr>
          <w:rFonts w:ascii="Times New Roman" w:hAnsi="Times New Roman" w:cs="David" w:hint="cs"/>
          <w:sz w:val="24"/>
          <w:szCs w:val="24"/>
          <w:rtl/>
        </w:rPr>
        <w:t>מ'סבאל'ה</w:t>
      </w:r>
      <w:proofErr w:type="spellEnd"/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 ירוק' ועד 'להוריד את הזקנים מהכביש': ייצוגי זקנה בתוכנית הסטירה 'ארץ נהדרת' בתקופת הבחירות 2006. </w:t>
      </w:r>
      <w:r w:rsidR="00365311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מסגרות מדיה: כתב עת ישראלי לתקשורת</w:t>
      </w:r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.  </w:t>
      </w:r>
    </w:p>
    <w:p w:rsidR="00914A96" w:rsidRPr="00726826" w:rsidRDefault="00157FE1" w:rsidP="00157FE1">
      <w:pPr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בריק, י. (2002) </w:t>
      </w: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הפול</w:t>
      </w:r>
      <w:r w:rsidR="007E3D35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טיקה של </w:t>
      </w:r>
      <w:proofErr w:type="spellStart"/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הזיקנה</w:t>
      </w:r>
      <w:proofErr w:type="spellEnd"/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- </w:t>
      </w:r>
      <w:proofErr w:type="spellStart"/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האוכלוסיה</w:t>
      </w:r>
      <w:proofErr w:type="spellEnd"/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המבוגרת בסדר העדיפויות הלאומי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.  פרק ראשון- הגיל הפוליטי של </w:t>
      </w:r>
      <w:proofErr w:type="spellStart"/>
      <w:r w:rsidRPr="00726826">
        <w:rPr>
          <w:rFonts w:ascii="Times New Roman" w:hAnsi="Times New Roman" w:cs="David" w:hint="cs"/>
          <w:sz w:val="24"/>
          <w:szCs w:val="24"/>
          <w:rtl/>
        </w:rPr>
        <w:t>הזיקנה</w:t>
      </w:r>
      <w:proofErr w:type="spellEnd"/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,  עמ' 9-15, </w:t>
      </w:r>
      <w:r w:rsidR="00B26555" w:rsidRPr="00726826">
        <w:rPr>
          <w:rFonts w:ascii="Times New Roman" w:hAnsi="Times New Roman" w:cs="David" w:hint="cs"/>
          <w:sz w:val="24"/>
          <w:szCs w:val="24"/>
          <w:rtl/>
        </w:rPr>
        <w:t xml:space="preserve">תל אביב, 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הקיבוץ המאוחד</w:t>
      </w:r>
    </w:p>
    <w:p w:rsidR="00761CE2" w:rsidRPr="00726826" w:rsidRDefault="00761CE2" w:rsidP="00761CE2">
      <w:pPr>
        <w:tabs>
          <w:tab w:val="left" w:pos="283"/>
        </w:tabs>
        <w:rPr>
          <w:rFonts w:ascii="Arial" w:hAnsi="Arial" w:cs="David"/>
          <w:sz w:val="24"/>
          <w:szCs w:val="24"/>
          <w:rtl/>
        </w:rPr>
      </w:pPr>
      <w:r w:rsidRPr="00726826">
        <w:rPr>
          <w:rFonts w:ascii="Arial" w:hAnsi="Arial" w:cs="David" w:hint="cs"/>
          <w:sz w:val="24"/>
          <w:szCs w:val="24"/>
          <w:rtl/>
        </w:rPr>
        <w:t>לירן-</w:t>
      </w:r>
      <w:proofErr w:type="spellStart"/>
      <w:r w:rsidRPr="00726826">
        <w:rPr>
          <w:rFonts w:ascii="Arial" w:hAnsi="Arial" w:cs="David" w:hint="cs"/>
          <w:sz w:val="24"/>
          <w:szCs w:val="24"/>
          <w:rtl/>
        </w:rPr>
        <w:t>אלפר</w:t>
      </w:r>
      <w:proofErr w:type="spellEnd"/>
      <w:r w:rsidRPr="00726826">
        <w:rPr>
          <w:rFonts w:ascii="Arial" w:hAnsi="Arial" w:cs="David" w:hint="cs"/>
          <w:sz w:val="24"/>
          <w:szCs w:val="24"/>
          <w:rtl/>
        </w:rPr>
        <w:t xml:space="preserve">. ד. וקמה, ע. (2007). </w:t>
      </w:r>
      <w:r w:rsidRPr="00726826">
        <w:rPr>
          <w:rFonts w:ascii="Arial" w:hAnsi="Arial" w:cs="David" w:hint="cs"/>
          <w:b/>
          <w:bCs/>
          <w:sz w:val="24"/>
          <w:szCs w:val="24"/>
          <w:rtl/>
        </w:rPr>
        <w:t>עיצוב הגוף וחיטוב הזהות: ייצוגי גוף בטלוויזיה המסחרית</w:t>
      </w:r>
      <w:r w:rsidRPr="00726826">
        <w:rPr>
          <w:rFonts w:ascii="Arial" w:hAnsi="Arial" w:cs="David" w:hint="cs"/>
          <w:sz w:val="24"/>
          <w:szCs w:val="24"/>
          <w:rtl/>
        </w:rPr>
        <w:t>. תל-אביב: מכון חיים הרצוג לתקשורת, חברה ופוליטיקה.</w:t>
      </w:r>
    </w:p>
    <w:p w:rsidR="00365311" w:rsidRPr="00726826" w:rsidRDefault="00365311" w:rsidP="00F06D94">
      <w:pPr>
        <w:rPr>
          <w:rFonts w:ascii="Times New Roman" w:hAnsi="Times New Roman" w:cs="David"/>
          <w:sz w:val="24"/>
          <w:szCs w:val="24"/>
          <w:rtl/>
        </w:rPr>
      </w:pPr>
    </w:p>
    <w:p w:rsidR="00365311" w:rsidRPr="00726826" w:rsidRDefault="00365311" w:rsidP="00365311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ייצוגי הומואים</w:t>
      </w:r>
      <w:r w:rsidR="005C59BA"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 ונטיות מיניות</w:t>
      </w:r>
    </w:p>
    <w:p w:rsidR="00133C56" w:rsidRPr="00726826" w:rsidRDefault="00133C56" w:rsidP="00365311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sz w:val="24"/>
          <w:szCs w:val="24"/>
          <w:shd w:val="clear" w:color="auto" w:fill="FFFFFF"/>
          <w:rtl/>
        </w:rPr>
        <w:t>י</w:t>
      </w:r>
      <w:r w:rsidRPr="00726826">
        <w:rPr>
          <w:rFonts w:ascii="Times New Roman" w:hAnsi="Times New Roman" w:cs="David"/>
          <w:sz w:val="24"/>
          <w:szCs w:val="24"/>
          <w:shd w:val="clear" w:color="auto" w:fill="FFFFFF"/>
          <w:rtl/>
        </w:rPr>
        <w:t xml:space="preserve">ונאי, י., </w:t>
      </w:r>
      <w:proofErr w:type="spellStart"/>
      <w:r w:rsidRPr="00726826">
        <w:rPr>
          <w:rFonts w:ascii="Times New Roman" w:hAnsi="Times New Roman" w:cs="David"/>
          <w:sz w:val="24"/>
          <w:szCs w:val="24"/>
          <w:shd w:val="clear" w:color="auto" w:fill="FFFFFF"/>
          <w:rtl/>
        </w:rPr>
        <w:t>וספיבק</w:t>
      </w:r>
      <w:proofErr w:type="spellEnd"/>
      <w:r w:rsidRPr="00726826">
        <w:rPr>
          <w:rFonts w:ascii="Times New Roman" w:hAnsi="Times New Roman" w:cs="David"/>
          <w:sz w:val="24"/>
          <w:szCs w:val="24"/>
          <w:shd w:val="clear" w:color="auto" w:fill="FFFFFF"/>
          <w:rtl/>
        </w:rPr>
        <w:t>, ד. (1999). בין שתיקה לגינוי: הבניית הזהות של ההומואים בשיח המשפטי בישראל 1988-1948</w:t>
      </w:r>
      <w:r w:rsidRPr="00726826">
        <w:rPr>
          <w:rFonts w:ascii="Times New Roman" w:hAnsi="Times New Roman" w:cs="David"/>
          <w:sz w:val="24"/>
          <w:szCs w:val="24"/>
          <w:shd w:val="clear" w:color="auto" w:fill="FFFFFF"/>
        </w:rPr>
        <w:t>.</w:t>
      </w:r>
      <w:r w:rsidRPr="00726826">
        <w:rPr>
          <w:rStyle w:val="apple-converted-space"/>
          <w:rFonts w:ascii="Times New Roman" w:hAnsi="Times New Roman" w:cs="David"/>
          <w:sz w:val="24"/>
          <w:szCs w:val="24"/>
          <w:shd w:val="clear" w:color="auto" w:fill="FFFFFF"/>
        </w:rPr>
        <w:t> </w:t>
      </w:r>
      <w:r w:rsidRPr="00726826">
        <w:rPr>
          <w:rStyle w:val="a4"/>
          <w:rFonts w:ascii="Times New Roman" w:hAnsi="Times New Roman" w:cs="David"/>
          <w:sz w:val="24"/>
          <w:szCs w:val="24"/>
          <w:shd w:val="clear" w:color="auto" w:fill="FFFFFF"/>
          <w:rtl/>
        </w:rPr>
        <w:t>סוציולוגיה ישראלית</w:t>
      </w:r>
      <w:r w:rsidRPr="00726826">
        <w:rPr>
          <w:rStyle w:val="a4"/>
          <w:rFonts w:ascii="Times New Roman" w:hAnsi="Times New Roman" w:cs="David"/>
          <w:sz w:val="24"/>
          <w:szCs w:val="24"/>
          <w:shd w:val="clear" w:color="auto" w:fill="FFFFFF"/>
        </w:rPr>
        <w:t>,</w:t>
      </w:r>
      <w:r w:rsidRPr="00726826">
        <w:rPr>
          <w:rStyle w:val="apple-converted-space"/>
          <w:rFonts w:ascii="Times New Roman" w:hAnsi="Times New Roman" w:cs="David"/>
          <w:sz w:val="24"/>
          <w:szCs w:val="24"/>
          <w:shd w:val="clear" w:color="auto" w:fill="FFFFFF"/>
        </w:rPr>
        <w:t> </w:t>
      </w:r>
      <w:r w:rsidRPr="00726826">
        <w:rPr>
          <w:rFonts w:ascii="Times New Roman" w:hAnsi="Times New Roman" w:cs="David"/>
          <w:sz w:val="24"/>
          <w:szCs w:val="24"/>
          <w:shd w:val="clear" w:color="auto" w:fill="FFFFFF"/>
          <w:rtl/>
        </w:rPr>
        <w:t>א</w:t>
      </w:r>
      <w:r w:rsidR="005700EB" w:rsidRPr="00726826">
        <w:rPr>
          <w:rFonts w:ascii="Times New Roman" w:hAnsi="Times New Roman" w:cs="David" w:hint="cs"/>
          <w:sz w:val="24"/>
          <w:szCs w:val="24"/>
          <w:shd w:val="clear" w:color="auto" w:fill="FFFFFF"/>
          <w:rtl/>
        </w:rPr>
        <w:t xml:space="preserve"> </w:t>
      </w:r>
      <w:r w:rsidRPr="00726826">
        <w:rPr>
          <w:rFonts w:ascii="Times New Roman" w:hAnsi="Times New Roman" w:cs="David"/>
          <w:sz w:val="24"/>
          <w:szCs w:val="24"/>
          <w:shd w:val="clear" w:color="auto" w:fill="FFFFFF"/>
          <w:rtl/>
        </w:rPr>
        <w:t>(2), 257-293</w:t>
      </w:r>
      <w:r w:rsidRPr="00726826">
        <w:rPr>
          <w:rFonts w:ascii="Times New Roman" w:hAnsi="Times New Roman" w:cs="David"/>
          <w:sz w:val="24"/>
          <w:szCs w:val="24"/>
          <w:shd w:val="clear" w:color="auto" w:fill="FFFFFF"/>
        </w:rPr>
        <w:t>.</w:t>
      </w:r>
    </w:p>
    <w:p w:rsidR="00B80783" w:rsidRPr="00726826" w:rsidRDefault="00695F98" w:rsidP="00B80783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קמה, ע. (2002) "אם שמים אותי על המסך משמע אני קיים": דרכי התמודדות של הומואים עם הכחדתם הסמלית הנתפסת. </w:t>
      </w:r>
      <w:r w:rsidR="00B80783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סוציולוגיה ישראלית</w:t>
      </w:r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, כרך ד', 143 </w:t>
      </w:r>
      <w:r w:rsidR="00B80783" w:rsidRPr="00726826">
        <w:rPr>
          <w:rFonts w:ascii="Times New Roman" w:hAnsi="Times New Roman" w:cs="David"/>
          <w:sz w:val="24"/>
          <w:szCs w:val="24"/>
          <w:rtl/>
        </w:rPr>
        <w:t>–</w:t>
      </w:r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 191. </w:t>
      </w:r>
    </w:p>
    <w:p w:rsidR="00F53206" w:rsidRPr="00726826" w:rsidRDefault="005700EB" w:rsidP="00B80783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A38C8" w:rsidRPr="00726826">
        <w:rPr>
          <w:rFonts w:ascii="Times New Roman" w:hAnsi="Times New Roman" w:cs="David" w:hint="cs"/>
          <w:sz w:val="24"/>
          <w:szCs w:val="24"/>
          <w:rtl/>
        </w:rPr>
        <w:t xml:space="preserve">סוקולוב </w:t>
      </w:r>
      <w:proofErr w:type="spellStart"/>
      <w:r w:rsidR="00BA38C8" w:rsidRPr="00726826">
        <w:rPr>
          <w:rFonts w:ascii="Times New Roman" w:hAnsi="Times New Roman" w:cs="David" w:hint="cs"/>
          <w:sz w:val="24"/>
          <w:szCs w:val="24"/>
          <w:rtl/>
        </w:rPr>
        <w:t>וסאפי</w:t>
      </w:r>
      <w:proofErr w:type="spellEnd"/>
      <w:r w:rsidR="00BA38C8" w:rsidRPr="00726826">
        <w:rPr>
          <w:rFonts w:ascii="Times New Roman" w:hAnsi="Times New Roman" w:cs="David" w:hint="cs"/>
          <w:sz w:val="24"/>
          <w:szCs w:val="24"/>
          <w:rtl/>
        </w:rPr>
        <w:t xml:space="preserve"> (2002) "שני צדדים ליוסי וג'אגר", אתר </w:t>
      </w:r>
      <w:r w:rsidR="00BA38C8" w:rsidRPr="00726826">
        <w:rPr>
          <w:rFonts w:ascii="Times New Roman" w:hAnsi="Times New Roman" w:cs="David"/>
          <w:b/>
          <w:bCs/>
          <w:sz w:val="24"/>
          <w:szCs w:val="24"/>
        </w:rPr>
        <w:t>Go Gay.co.il</w:t>
      </w:r>
      <w:r w:rsidR="00BA38C8" w:rsidRPr="00726826">
        <w:rPr>
          <w:rFonts w:ascii="Times New Roman" w:hAnsi="Times New Roman" w:cs="David" w:hint="cs"/>
          <w:sz w:val="24"/>
          <w:szCs w:val="24"/>
          <w:rtl/>
        </w:rPr>
        <w:t>, 16/8/02 ניתן לאחזור מ</w:t>
      </w:r>
    </w:p>
    <w:p w:rsidR="00BA38C8" w:rsidRPr="00726826" w:rsidRDefault="00B3129E" w:rsidP="00B80783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hyperlink r:id="rId7" w:history="1">
        <w:r w:rsidR="00BA38C8" w:rsidRPr="00726826">
          <w:rPr>
            <w:rStyle w:val="Hyperlink"/>
            <w:rFonts w:ascii="Times New Roman" w:hAnsi="Times New Roman" w:cs="David"/>
            <w:color w:val="auto"/>
            <w:sz w:val="24"/>
            <w:szCs w:val="24"/>
          </w:rPr>
          <w:t>http://gogay.co.il/item.php?id=879</w:t>
        </w:r>
      </w:hyperlink>
      <w:r w:rsidR="00BA38C8"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   12 דצמבר 2013</w:t>
      </w:r>
    </w:p>
    <w:p w:rsidR="00BA38C8" w:rsidRPr="00726826" w:rsidRDefault="00BA38C8" w:rsidP="00B80783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:rsidR="00365311" w:rsidRPr="00726826" w:rsidRDefault="004664AE" w:rsidP="004664AE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ייצוגים של מקום- עיירות הפיתוח.</w:t>
      </w:r>
    </w:p>
    <w:p w:rsidR="0093487C" w:rsidRPr="00726826" w:rsidRDefault="0093487C" w:rsidP="00B80783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:rsidR="00B80783" w:rsidRPr="00726826" w:rsidRDefault="00695F98" w:rsidP="000A48E6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אברהם, א. (2001).  </w:t>
      </w:r>
      <w:r w:rsidR="00B80783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ישראל הסמויה מעיני התקשורת: הקיבוצים, ההתנחלויות, ערי הפילוח</w:t>
      </w:r>
      <w:r w:rsidR="00B80783" w:rsidRPr="00726826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</w:t>
      </w:r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והישובים הערביים בעיתונות. ירושלים: </w:t>
      </w:r>
      <w:proofErr w:type="spellStart"/>
      <w:r w:rsidR="00B80783" w:rsidRPr="00726826">
        <w:rPr>
          <w:rFonts w:ascii="Times New Roman" w:hAnsi="Times New Roman" w:cs="David" w:hint="cs"/>
          <w:sz w:val="24"/>
          <w:szCs w:val="24"/>
          <w:rtl/>
        </w:rPr>
        <w:t>אקדמון</w:t>
      </w:r>
      <w:proofErr w:type="spellEnd"/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. עמ' 8 </w:t>
      </w:r>
      <w:r w:rsidR="00B80783" w:rsidRPr="00726826">
        <w:rPr>
          <w:rFonts w:ascii="Times New Roman" w:hAnsi="Times New Roman" w:cs="David"/>
          <w:sz w:val="24"/>
          <w:szCs w:val="24"/>
          <w:rtl/>
        </w:rPr>
        <w:t>–</w:t>
      </w:r>
      <w:r w:rsidR="00B80783" w:rsidRPr="00726826">
        <w:rPr>
          <w:rFonts w:ascii="Times New Roman" w:hAnsi="Times New Roman" w:cs="David" w:hint="cs"/>
          <w:sz w:val="24"/>
          <w:szCs w:val="24"/>
          <w:rtl/>
        </w:rPr>
        <w:t xml:space="preserve"> 45. </w:t>
      </w:r>
    </w:p>
    <w:p w:rsidR="0093487C" w:rsidRPr="00726826" w:rsidRDefault="0093487C" w:rsidP="0093487C">
      <w:pPr>
        <w:spacing w:after="240" w:line="360" w:lineRule="auto"/>
        <w:jc w:val="both"/>
        <w:outlineLvl w:val="0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לאפי, ד. (2011). </w:t>
      </w: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סוגיות מפתח בתיאוריית המדיה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67796D" w:rsidRPr="00726826">
        <w:rPr>
          <w:rFonts w:ascii="Times New Roman" w:hAnsi="Times New Roman" w:cs="David" w:hint="cs"/>
          <w:sz w:val="24"/>
          <w:szCs w:val="24"/>
          <w:rtl/>
        </w:rPr>
        <w:t xml:space="preserve">הפרק:  קבוצות המדיה של גלזגו: האידאולוגיה של החדשות עמ' 80-85, </w:t>
      </w:r>
      <w:r w:rsidRPr="00726826">
        <w:rPr>
          <w:rFonts w:ascii="Times New Roman" w:hAnsi="Times New Roman" w:cs="David" w:hint="cs"/>
          <w:sz w:val="24"/>
          <w:szCs w:val="24"/>
          <w:rtl/>
        </w:rPr>
        <w:t>תל אביב: האוניברסיטה הפתוחה.</w:t>
      </w:r>
    </w:p>
    <w:p w:rsidR="0093487C" w:rsidRPr="00726826" w:rsidRDefault="0093487C" w:rsidP="000A48E6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B80783" w:rsidRPr="00726826" w:rsidRDefault="000A48E6" w:rsidP="00B80783">
      <w:pPr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מיעוט לאומי </w:t>
      </w:r>
      <w:r w:rsidR="00B80783" w:rsidRPr="00726826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ערבים</w:t>
      </w:r>
    </w:p>
    <w:p w:rsidR="00951575" w:rsidRPr="00726826" w:rsidRDefault="00951575" w:rsidP="007E3D35">
      <w:pPr>
        <w:spacing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726826">
        <w:rPr>
          <w:rFonts w:ascii="Times New Roman" w:eastAsia="Times New Roman" w:hAnsi="Times New Roman" w:cs="David"/>
          <w:sz w:val="24"/>
          <w:szCs w:val="24"/>
          <w:rtl/>
        </w:rPr>
        <w:t>גרץ</w:t>
      </w:r>
      <w:proofErr w:type="spellEnd"/>
      <w:r w:rsidRPr="00726826">
        <w:rPr>
          <w:rFonts w:ascii="Times New Roman" w:eastAsia="Times New Roman" w:hAnsi="Times New Roman" w:cs="David"/>
          <w:sz w:val="24"/>
          <w:szCs w:val="24"/>
          <w:rtl/>
        </w:rPr>
        <w:t xml:space="preserve">, נורית, "הקולנוע של הזר והחריג" , </w:t>
      </w:r>
      <w:r w:rsidRPr="00726826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סיפור מהסרטים: סיפורת ישראלית ועיבודיה לקולנוע, </w:t>
      </w:r>
      <w:r w:rsidR="007E3D35" w:rsidRPr="00726826">
        <w:rPr>
          <w:rFonts w:ascii="Times New Roman" w:eastAsia="Times New Roman" w:hAnsi="Times New Roman" w:cs="David" w:hint="cs"/>
          <w:sz w:val="24"/>
          <w:szCs w:val="24"/>
          <w:rtl/>
        </w:rPr>
        <w:t>ת</w:t>
      </w:r>
      <w:r w:rsidRPr="00726826">
        <w:rPr>
          <w:rFonts w:ascii="Times New Roman" w:eastAsia="Times New Roman" w:hAnsi="Times New Roman" w:cs="David"/>
          <w:sz w:val="24"/>
          <w:szCs w:val="24"/>
          <w:rtl/>
        </w:rPr>
        <w:t>ל אביב: האוניברסיטה הפתוחה, 1993, עמודים 217-236.</w:t>
      </w:r>
    </w:p>
    <w:p w:rsidR="00457F86" w:rsidRPr="00726826" w:rsidRDefault="00457F86" w:rsidP="00457F86">
      <w:pPr>
        <w:jc w:val="both"/>
        <w:rPr>
          <w:rFonts w:cs="David"/>
          <w:sz w:val="24"/>
          <w:szCs w:val="24"/>
          <w:lang w:val="en-GB"/>
        </w:rPr>
      </w:pPr>
      <w:proofErr w:type="spellStart"/>
      <w:r w:rsidRPr="00726826">
        <w:rPr>
          <w:rFonts w:cs="David"/>
          <w:sz w:val="24"/>
          <w:szCs w:val="24"/>
          <w:rtl/>
          <w:lang w:val="en-GB"/>
        </w:rPr>
        <w:t>פ</w:t>
      </w:r>
      <w:r w:rsidRPr="00726826">
        <w:rPr>
          <w:rFonts w:cs="David" w:hint="cs"/>
          <w:sz w:val="24"/>
          <w:szCs w:val="24"/>
          <w:rtl/>
          <w:lang w:val="en-GB"/>
        </w:rPr>
        <w:t>אנון</w:t>
      </w:r>
      <w:proofErr w:type="spellEnd"/>
      <w:r w:rsidRPr="00726826">
        <w:rPr>
          <w:rFonts w:cs="David" w:hint="cs"/>
          <w:sz w:val="24"/>
          <w:szCs w:val="24"/>
          <w:rtl/>
          <w:lang w:val="en-GB"/>
        </w:rPr>
        <w:t>, פ</w:t>
      </w:r>
      <w:r w:rsidRPr="00726826">
        <w:rPr>
          <w:rFonts w:cs="David"/>
          <w:sz w:val="24"/>
          <w:szCs w:val="24"/>
          <w:rtl/>
          <w:lang w:val="en-GB"/>
        </w:rPr>
        <w:t xml:space="preserve">. 2004. "על תסביך התלות לכאורה של מושא הקולוניזציה " בתוך </w:t>
      </w:r>
      <w:r w:rsidRPr="00726826">
        <w:rPr>
          <w:rFonts w:cs="David"/>
          <w:b/>
          <w:bCs/>
          <w:sz w:val="24"/>
          <w:szCs w:val="24"/>
          <w:rtl/>
          <w:lang w:val="en-GB"/>
        </w:rPr>
        <w:t>עור שחור, מסכות לבנות</w:t>
      </w:r>
      <w:r w:rsidRPr="00726826">
        <w:rPr>
          <w:rFonts w:cs="David"/>
          <w:sz w:val="24"/>
          <w:szCs w:val="24"/>
          <w:rtl/>
          <w:lang w:val="en-GB"/>
        </w:rPr>
        <w:t>. תל-אביב: מעריב. עמ' 64-82.</w:t>
      </w:r>
    </w:p>
    <w:p w:rsidR="00BD1FB4" w:rsidRPr="00726826" w:rsidRDefault="00BD1FB4" w:rsidP="00BD1FB4">
      <w:pPr>
        <w:spacing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726826">
        <w:rPr>
          <w:rFonts w:ascii="Times New Roman" w:hAnsi="Times New Roman" w:cs="David" w:hint="cs"/>
          <w:sz w:val="24"/>
          <w:szCs w:val="24"/>
          <w:rtl/>
        </w:rPr>
        <w:t>פירסט</w:t>
      </w:r>
      <w:proofErr w:type="spellEnd"/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, ע. (2001). הטוב, הרע והנעדר: מגמות סותרות ביחס לערבים בתקשורת הישראלית, </w:t>
      </w:r>
      <w:r w:rsidRPr="00726826">
        <w:rPr>
          <w:rStyle w:val="st1"/>
          <w:rFonts w:ascii="Times New Roman" w:hAnsi="Times New Roman" w:cs="David"/>
          <w:color w:val="444444"/>
          <w:sz w:val="24"/>
          <w:szCs w:val="24"/>
          <w:rtl/>
        </w:rPr>
        <w:t>פנים 17: 94-86. (4)</w:t>
      </w:r>
    </w:p>
    <w:p w:rsidR="00BD1FB4" w:rsidRPr="00726826" w:rsidRDefault="00BD1FB4" w:rsidP="00BD1FB4">
      <w:pPr>
        <w:rPr>
          <w:rFonts w:cs="David"/>
          <w:sz w:val="24"/>
          <w:szCs w:val="24"/>
          <w:rtl/>
        </w:rPr>
      </w:pPr>
      <w:r w:rsidRPr="00726826">
        <w:rPr>
          <w:rFonts w:cs="David" w:hint="cs"/>
          <w:sz w:val="24"/>
          <w:szCs w:val="24"/>
          <w:rtl/>
        </w:rPr>
        <w:t>שנהב, י.</w:t>
      </w:r>
      <w:r w:rsidRPr="00726826">
        <w:rPr>
          <w:rFonts w:cs="David"/>
          <w:sz w:val="24"/>
          <w:szCs w:val="24"/>
          <w:rtl/>
        </w:rPr>
        <w:t xml:space="preserve"> 2003. </w:t>
      </w:r>
      <w:r w:rsidRPr="00726826">
        <w:rPr>
          <w:rFonts w:cs="David"/>
          <w:b/>
          <w:bCs/>
          <w:sz w:val="24"/>
          <w:szCs w:val="24"/>
          <w:rtl/>
        </w:rPr>
        <w:t>היהודים-הערבים: לאומיות, דת, אתניות</w:t>
      </w:r>
      <w:r w:rsidRPr="00726826">
        <w:rPr>
          <w:rFonts w:cs="David"/>
          <w:sz w:val="24"/>
          <w:szCs w:val="24"/>
          <w:rtl/>
        </w:rPr>
        <w:t>. תל-אביב: עם עובד. עמ' 7-72.</w:t>
      </w:r>
    </w:p>
    <w:p w:rsidR="00457F86" w:rsidRPr="00726826" w:rsidRDefault="00B20CBC" w:rsidP="00457F86">
      <w:pPr>
        <w:rPr>
          <w:rFonts w:cs="David"/>
          <w:sz w:val="24"/>
          <w:szCs w:val="24"/>
          <w:rtl/>
        </w:rPr>
      </w:pPr>
      <w:proofErr w:type="spellStart"/>
      <w:r w:rsidRPr="00726826">
        <w:rPr>
          <w:rFonts w:cs="David" w:hint="cs"/>
          <w:sz w:val="24"/>
          <w:szCs w:val="24"/>
          <w:rtl/>
        </w:rPr>
        <w:t>סעיד,א</w:t>
      </w:r>
      <w:proofErr w:type="spellEnd"/>
      <w:r w:rsidR="00457F86" w:rsidRPr="00726826">
        <w:rPr>
          <w:rFonts w:cs="David"/>
          <w:sz w:val="24"/>
          <w:szCs w:val="24"/>
          <w:rtl/>
        </w:rPr>
        <w:t xml:space="preserve">. 2000. </w:t>
      </w:r>
      <w:r w:rsidR="00457F86" w:rsidRPr="00726826">
        <w:rPr>
          <w:rFonts w:cs="David"/>
          <w:b/>
          <w:bCs/>
          <w:sz w:val="24"/>
          <w:szCs w:val="24"/>
          <w:rtl/>
        </w:rPr>
        <w:t>אוריינטליזם</w:t>
      </w:r>
      <w:r w:rsidR="00457F86" w:rsidRPr="00726826">
        <w:rPr>
          <w:rFonts w:cs="David"/>
          <w:sz w:val="24"/>
          <w:szCs w:val="24"/>
          <w:rtl/>
        </w:rPr>
        <w:t>. תל-אביב: עם עובד. עמ' 35-50, 1-32</w:t>
      </w:r>
    </w:p>
    <w:p w:rsidR="000C0842" w:rsidRPr="00726826" w:rsidRDefault="00695F98" w:rsidP="008D6DCC">
      <w:pPr>
        <w:spacing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726826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0C0842" w:rsidRPr="00726826">
        <w:rPr>
          <w:rFonts w:ascii="Times New Roman" w:eastAsia="Times New Roman" w:hAnsi="Times New Roman" w:cs="David"/>
          <w:sz w:val="24"/>
          <w:szCs w:val="24"/>
          <w:rtl/>
        </w:rPr>
        <w:t xml:space="preserve">שוחט, אלה, "שובו של המודחק: הגל הפלסטיני בקולנוע הישראלי החדש", </w:t>
      </w:r>
      <w:r w:rsidR="000C0842" w:rsidRPr="00726826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הקולנוע הישראלי: היסטוריה ואידיאולוגיה</w:t>
      </w:r>
      <w:r w:rsidR="000C0842" w:rsidRPr="00726826">
        <w:rPr>
          <w:rFonts w:ascii="Times New Roman" w:eastAsia="Times New Roman" w:hAnsi="Times New Roman" w:cs="David"/>
          <w:sz w:val="24"/>
          <w:szCs w:val="24"/>
          <w:rtl/>
        </w:rPr>
        <w:t>, תל אביב: ברירות, 1991, עמודים 237-270.</w:t>
      </w:r>
    </w:p>
    <w:p w:rsidR="0067796D" w:rsidRPr="00726826" w:rsidRDefault="0067796D" w:rsidP="0067796D">
      <w:pPr>
        <w:spacing w:after="240" w:line="360" w:lineRule="auto"/>
        <w:jc w:val="both"/>
        <w:outlineLvl w:val="0"/>
        <w:rPr>
          <w:rFonts w:ascii="Times New Roman" w:hAnsi="Times New Roman" w:cs="David"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לאפי, ד. (2011). </w:t>
      </w:r>
      <w:r w:rsidRPr="00726826">
        <w:rPr>
          <w:rFonts w:ascii="Times New Roman" w:hAnsi="Times New Roman" w:cs="David" w:hint="cs"/>
          <w:i/>
          <w:iCs/>
          <w:sz w:val="24"/>
          <w:szCs w:val="24"/>
          <w:rtl/>
        </w:rPr>
        <w:t>סוגיות מפתח בתיאוריית המדיה</w:t>
      </w: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. הפרק:  אוריינטליזם , פוסט </w:t>
      </w:r>
      <w:proofErr w:type="spellStart"/>
      <w:r w:rsidRPr="00726826">
        <w:rPr>
          <w:rFonts w:ascii="Times New Roman" w:hAnsi="Times New Roman" w:cs="David" w:hint="cs"/>
          <w:sz w:val="24"/>
          <w:szCs w:val="24"/>
          <w:rtl/>
        </w:rPr>
        <w:t>קולניאליזם</w:t>
      </w:r>
      <w:proofErr w:type="spellEnd"/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וגזע, עמ' 160-164 , תל אביב: האוניברסיטה הפתוחה.</w:t>
      </w:r>
    </w:p>
    <w:p w:rsidR="000C0842" w:rsidRPr="00726826" w:rsidRDefault="000C0842">
      <w:pPr>
        <w:rPr>
          <w:rFonts w:ascii="Times New Roman" w:hAnsi="Times New Roman" w:cs="David"/>
          <w:sz w:val="24"/>
          <w:szCs w:val="24"/>
          <w:rtl/>
        </w:rPr>
      </w:pPr>
    </w:p>
    <w:p w:rsidR="00B80783" w:rsidRPr="00726826" w:rsidRDefault="00C439DB" w:rsidP="00AE7190">
      <w:pPr>
        <w:rPr>
          <w:rFonts w:ascii="Times New Roman" w:hAnsi="Times New Roman" w:cs="David"/>
          <w:b/>
          <w:bCs/>
          <w:sz w:val="24"/>
          <w:szCs w:val="24"/>
          <w:rtl/>
        </w:rPr>
      </w:pPr>
      <w:r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ההקשר הישראלי</w:t>
      </w:r>
    </w:p>
    <w:p w:rsidR="00365311" w:rsidRPr="00726826" w:rsidRDefault="00695F98" w:rsidP="00365311">
      <w:pPr>
        <w:spacing w:line="360" w:lineRule="auto"/>
        <w:rPr>
          <w:rFonts w:ascii="Times New Roman" w:hAnsi="Times New Roman" w:cs="David"/>
          <w:sz w:val="24"/>
          <w:szCs w:val="24"/>
          <w:u w:val="single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365311" w:rsidRPr="00726826">
        <w:rPr>
          <w:rFonts w:ascii="Times New Roman" w:hAnsi="Times New Roman" w:cs="David" w:hint="cs"/>
          <w:sz w:val="24"/>
          <w:szCs w:val="24"/>
          <w:rtl/>
        </w:rPr>
        <w:t>פירסט</w:t>
      </w:r>
      <w:proofErr w:type="spellEnd"/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, ע. ואברהם, א. (2007). כיכר השוק הומה? על הגיוון התרבותי בערוצי הטלוויזיה המסחריים בישראל ועל הדרכים לשיפורו. בתוך: כספי, ד. (עורך). </w:t>
      </w:r>
      <w:r w:rsidR="00365311" w:rsidRPr="00726826">
        <w:rPr>
          <w:rFonts w:ascii="Times New Roman" w:hAnsi="Times New Roman" w:cs="David" w:hint="cs"/>
          <w:b/>
          <w:bCs/>
          <w:sz w:val="24"/>
          <w:szCs w:val="24"/>
          <w:rtl/>
        </w:rPr>
        <w:t>תקשורת ופוליטיקה בישראל</w:t>
      </w:r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. ירושלים: ואן ליר, הקיבוץ המאוחד. עמ' 134 </w:t>
      </w:r>
      <w:r w:rsidR="00365311" w:rsidRPr="00726826">
        <w:rPr>
          <w:rFonts w:ascii="Times New Roman" w:hAnsi="Times New Roman" w:cs="David"/>
          <w:sz w:val="24"/>
          <w:szCs w:val="24"/>
          <w:rtl/>
        </w:rPr>
        <w:t>–</w:t>
      </w:r>
      <w:r w:rsidR="00365311" w:rsidRPr="00726826">
        <w:rPr>
          <w:rFonts w:ascii="Times New Roman" w:hAnsi="Times New Roman" w:cs="David" w:hint="cs"/>
          <w:sz w:val="24"/>
          <w:szCs w:val="24"/>
          <w:rtl/>
        </w:rPr>
        <w:t xml:space="preserve"> 161</w:t>
      </w:r>
      <w:r w:rsidR="00365311" w:rsidRPr="00726826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</w:t>
      </w:r>
    </w:p>
    <w:p w:rsidR="00A95B35" w:rsidRPr="00726826" w:rsidRDefault="00695F98" w:rsidP="00A95B35">
      <w:pPr>
        <w:spacing w:after="120"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C3179" w:rsidRPr="007268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A95B35" w:rsidRPr="00726826">
        <w:rPr>
          <w:rFonts w:ascii="Times New Roman" w:hAnsi="Times New Roman" w:cs="David"/>
          <w:sz w:val="24"/>
          <w:szCs w:val="24"/>
          <w:rtl/>
        </w:rPr>
        <w:t>פירסט</w:t>
      </w:r>
      <w:proofErr w:type="spellEnd"/>
      <w:r w:rsidR="00A95B35" w:rsidRPr="00726826">
        <w:rPr>
          <w:rFonts w:ascii="Times New Roman" w:hAnsi="Times New Roman" w:cs="David"/>
          <w:sz w:val="24"/>
          <w:szCs w:val="24"/>
          <w:rtl/>
        </w:rPr>
        <w:t xml:space="preserve">, ע. ואברהם, א. (2001). לבי במערב ואנוכי בסוף מזרח: הדימוי האמריקני בראי הפרסומת הישראלית. בתוך: ת. </w:t>
      </w:r>
      <w:proofErr w:type="spellStart"/>
      <w:r w:rsidR="00A95B35" w:rsidRPr="00726826">
        <w:rPr>
          <w:rFonts w:ascii="Times New Roman" w:hAnsi="Times New Roman" w:cs="David"/>
          <w:sz w:val="24"/>
          <w:szCs w:val="24"/>
          <w:rtl/>
        </w:rPr>
        <w:t>ליבס</w:t>
      </w:r>
      <w:proofErr w:type="spellEnd"/>
      <w:r w:rsidR="00A95B35" w:rsidRPr="00726826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="00A95B35" w:rsidRPr="00726826">
        <w:rPr>
          <w:rFonts w:ascii="Times New Roman" w:hAnsi="Times New Roman" w:cs="David"/>
          <w:sz w:val="24"/>
          <w:szCs w:val="24"/>
          <w:rtl/>
        </w:rPr>
        <w:t>ומ</w:t>
      </w:r>
      <w:proofErr w:type="spellEnd"/>
      <w:r w:rsidR="00A95B35" w:rsidRPr="00726826">
        <w:rPr>
          <w:rFonts w:ascii="Times New Roman" w:hAnsi="Times New Roman" w:cs="David"/>
          <w:sz w:val="24"/>
          <w:szCs w:val="24"/>
          <w:rtl/>
        </w:rPr>
        <w:t xml:space="preserve">. </w:t>
      </w:r>
      <w:proofErr w:type="spellStart"/>
      <w:r w:rsidR="00A95B35" w:rsidRPr="00726826">
        <w:rPr>
          <w:rFonts w:ascii="Times New Roman" w:hAnsi="Times New Roman" w:cs="David"/>
          <w:sz w:val="24"/>
          <w:szCs w:val="24"/>
          <w:rtl/>
        </w:rPr>
        <w:t>טלמון</w:t>
      </w:r>
      <w:proofErr w:type="spellEnd"/>
      <w:r w:rsidR="00A95B35" w:rsidRPr="00726826">
        <w:rPr>
          <w:rFonts w:ascii="Times New Roman" w:hAnsi="Times New Roman" w:cs="David"/>
          <w:sz w:val="24"/>
          <w:szCs w:val="24"/>
          <w:rtl/>
        </w:rPr>
        <w:t xml:space="preserve"> (עורכות</w:t>
      </w:r>
      <w:r w:rsidR="00A95B35" w:rsidRPr="00726826">
        <w:rPr>
          <w:rFonts w:ascii="Times New Roman" w:hAnsi="Times New Roman" w:cs="David"/>
          <w:b/>
          <w:bCs/>
          <w:sz w:val="24"/>
          <w:szCs w:val="24"/>
          <w:rtl/>
        </w:rPr>
        <w:t>), תקשורת כתרבות – מקראה</w:t>
      </w:r>
      <w:r w:rsidR="00A95B35" w:rsidRPr="00726826">
        <w:rPr>
          <w:rFonts w:ascii="Times New Roman" w:hAnsi="Times New Roman" w:cs="David"/>
          <w:sz w:val="24"/>
          <w:szCs w:val="24"/>
          <w:rtl/>
        </w:rPr>
        <w:t xml:space="preserve"> (כרך א', עמ' 367-339). תל-אביב: האוניברסיטה הפתוחה.</w:t>
      </w:r>
    </w:p>
    <w:p w:rsidR="00F06D94" w:rsidRPr="00726826" w:rsidRDefault="00F06D94">
      <w:pPr>
        <w:rPr>
          <w:rFonts w:ascii="Times New Roman" w:hAnsi="Times New Roman" w:cs="David"/>
          <w:sz w:val="24"/>
          <w:szCs w:val="24"/>
          <w:rtl/>
        </w:rPr>
      </w:pPr>
    </w:p>
    <w:p w:rsidR="00D2648C" w:rsidRPr="00726826" w:rsidRDefault="00D2648C">
      <w:pPr>
        <w:rPr>
          <w:rFonts w:ascii="Times New Roman" w:hAnsi="Times New Roman" w:cs="David"/>
          <w:sz w:val="24"/>
          <w:szCs w:val="24"/>
        </w:rPr>
      </w:pPr>
    </w:p>
    <w:sectPr w:rsidR="00D2648C" w:rsidRPr="00726826" w:rsidSect="004A5F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B2F"/>
    <w:multiLevelType w:val="hybridMultilevel"/>
    <w:tmpl w:val="70A03C74"/>
    <w:lvl w:ilvl="0" w:tplc="BBD2DE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4EFF"/>
    <w:multiLevelType w:val="hybridMultilevel"/>
    <w:tmpl w:val="915E36D6"/>
    <w:lvl w:ilvl="0" w:tplc="CC44F9DA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6631E"/>
    <w:multiLevelType w:val="hybridMultilevel"/>
    <w:tmpl w:val="A0544DA0"/>
    <w:lvl w:ilvl="0" w:tplc="632020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418FE"/>
    <w:multiLevelType w:val="hybridMultilevel"/>
    <w:tmpl w:val="2B7A5DDC"/>
    <w:lvl w:ilvl="0" w:tplc="9CFAC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6C8B"/>
    <w:multiLevelType w:val="hybridMultilevel"/>
    <w:tmpl w:val="D64A737A"/>
    <w:lvl w:ilvl="0" w:tplc="AF304136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A1B88"/>
    <w:multiLevelType w:val="hybridMultilevel"/>
    <w:tmpl w:val="F32A51AE"/>
    <w:lvl w:ilvl="0" w:tplc="E0887E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530D"/>
    <w:multiLevelType w:val="hybridMultilevel"/>
    <w:tmpl w:val="87400FE4"/>
    <w:lvl w:ilvl="0" w:tplc="02CA589E">
      <w:start w:val="1"/>
      <w:numFmt w:val="hebrew1"/>
      <w:lvlText w:val="%1."/>
      <w:lvlJc w:val="left"/>
      <w:pPr>
        <w:ind w:left="644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E93782"/>
    <w:multiLevelType w:val="hybridMultilevel"/>
    <w:tmpl w:val="01FED144"/>
    <w:lvl w:ilvl="0" w:tplc="11565A98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92AAA"/>
    <w:multiLevelType w:val="hybridMultilevel"/>
    <w:tmpl w:val="A650FBAE"/>
    <w:lvl w:ilvl="0" w:tplc="3FD2CE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F437D"/>
    <w:multiLevelType w:val="singleLevel"/>
    <w:tmpl w:val="A8289E1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0">
    <w:nsid w:val="7CE662A6"/>
    <w:multiLevelType w:val="singleLevel"/>
    <w:tmpl w:val="86781DEE"/>
    <w:lvl w:ilvl="0">
      <w:start w:val="1"/>
      <w:numFmt w:val="upperRoman"/>
      <w:lvlText w:val="(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94"/>
    <w:rsid w:val="00007A3A"/>
    <w:rsid w:val="00012427"/>
    <w:rsid w:val="00056D88"/>
    <w:rsid w:val="000A48E6"/>
    <w:rsid w:val="000B610D"/>
    <w:rsid w:val="000C0842"/>
    <w:rsid w:val="00124B74"/>
    <w:rsid w:val="00130036"/>
    <w:rsid w:val="00133C56"/>
    <w:rsid w:val="00157FE1"/>
    <w:rsid w:val="00196BFB"/>
    <w:rsid w:val="001E5D1F"/>
    <w:rsid w:val="001F4AD4"/>
    <w:rsid w:val="002559B2"/>
    <w:rsid w:val="00272092"/>
    <w:rsid w:val="00274A54"/>
    <w:rsid w:val="00282C87"/>
    <w:rsid w:val="00296F44"/>
    <w:rsid w:val="002A3E3C"/>
    <w:rsid w:val="002B69B1"/>
    <w:rsid w:val="002C75F5"/>
    <w:rsid w:val="00365311"/>
    <w:rsid w:val="00377934"/>
    <w:rsid w:val="003C3179"/>
    <w:rsid w:val="003F1164"/>
    <w:rsid w:val="0043577F"/>
    <w:rsid w:val="00442648"/>
    <w:rsid w:val="004457BC"/>
    <w:rsid w:val="00457F86"/>
    <w:rsid w:val="004664AE"/>
    <w:rsid w:val="004A5F0B"/>
    <w:rsid w:val="004B2CDE"/>
    <w:rsid w:val="004E05D9"/>
    <w:rsid w:val="00511E9F"/>
    <w:rsid w:val="00564792"/>
    <w:rsid w:val="005700EB"/>
    <w:rsid w:val="00580632"/>
    <w:rsid w:val="005955A6"/>
    <w:rsid w:val="005973F5"/>
    <w:rsid w:val="005A1E96"/>
    <w:rsid w:val="005B4CE4"/>
    <w:rsid w:val="005C0102"/>
    <w:rsid w:val="005C59BA"/>
    <w:rsid w:val="005E4A29"/>
    <w:rsid w:val="0067796D"/>
    <w:rsid w:val="00695F98"/>
    <w:rsid w:val="006F4BDE"/>
    <w:rsid w:val="00712B6A"/>
    <w:rsid w:val="00726826"/>
    <w:rsid w:val="00736618"/>
    <w:rsid w:val="00761CE2"/>
    <w:rsid w:val="007808D6"/>
    <w:rsid w:val="00797965"/>
    <w:rsid w:val="007A4CE3"/>
    <w:rsid w:val="007B45E1"/>
    <w:rsid w:val="007E3D35"/>
    <w:rsid w:val="0080343B"/>
    <w:rsid w:val="00827284"/>
    <w:rsid w:val="008C5788"/>
    <w:rsid w:val="008D500C"/>
    <w:rsid w:val="008D6DCC"/>
    <w:rsid w:val="008D73CC"/>
    <w:rsid w:val="00914A96"/>
    <w:rsid w:val="00932984"/>
    <w:rsid w:val="0093487C"/>
    <w:rsid w:val="00951575"/>
    <w:rsid w:val="00954935"/>
    <w:rsid w:val="00971382"/>
    <w:rsid w:val="009762F4"/>
    <w:rsid w:val="009B4852"/>
    <w:rsid w:val="009C2E52"/>
    <w:rsid w:val="009C7159"/>
    <w:rsid w:val="009D7AE1"/>
    <w:rsid w:val="00A03C75"/>
    <w:rsid w:val="00A32D47"/>
    <w:rsid w:val="00A408CA"/>
    <w:rsid w:val="00A423C9"/>
    <w:rsid w:val="00A475C2"/>
    <w:rsid w:val="00A51884"/>
    <w:rsid w:val="00A56368"/>
    <w:rsid w:val="00A60754"/>
    <w:rsid w:val="00A742E1"/>
    <w:rsid w:val="00A909E0"/>
    <w:rsid w:val="00A95B35"/>
    <w:rsid w:val="00AC5DA5"/>
    <w:rsid w:val="00AD422A"/>
    <w:rsid w:val="00AD43AE"/>
    <w:rsid w:val="00AE7190"/>
    <w:rsid w:val="00AF315E"/>
    <w:rsid w:val="00B20CBC"/>
    <w:rsid w:val="00B26555"/>
    <w:rsid w:val="00B3129E"/>
    <w:rsid w:val="00B64650"/>
    <w:rsid w:val="00B65B00"/>
    <w:rsid w:val="00B80783"/>
    <w:rsid w:val="00BA38C8"/>
    <w:rsid w:val="00BA4838"/>
    <w:rsid w:val="00BC3A47"/>
    <w:rsid w:val="00BD1FB4"/>
    <w:rsid w:val="00C05D8E"/>
    <w:rsid w:val="00C11307"/>
    <w:rsid w:val="00C23410"/>
    <w:rsid w:val="00C439DB"/>
    <w:rsid w:val="00C71A93"/>
    <w:rsid w:val="00C87DC7"/>
    <w:rsid w:val="00CB4406"/>
    <w:rsid w:val="00CE1EEA"/>
    <w:rsid w:val="00CF7956"/>
    <w:rsid w:val="00D2648C"/>
    <w:rsid w:val="00D707DB"/>
    <w:rsid w:val="00D7146B"/>
    <w:rsid w:val="00D73B87"/>
    <w:rsid w:val="00D74570"/>
    <w:rsid w:val="00D87E18"/>
    <w:rsid w:val="00DE3264"/>
    <w:rsid w:val="00DF66E8"/>
    <w:rsid w:val="00E36319"/>
    <w:rsid w:val="00E55B0A"/>
    <w:rsid w:val="00ED644E"/>
    <w:rsid w:val="00F06D94"/>
    <w:rsid w:val="00F53206"/>
    <w:rsid w:val="00F70F34"/>
    <w:rsid w:val="00F72789"/>
    <w:rsid w:val="00F77349"/>
    <w:rsid w:val="00F87238"/>
    <w:rsid w:val="00F91EDC"/>
    <w:rsid w:val="00FA63B7"/>
    <w:rsid w:val="00FC2745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A909E0"/>
    <w:pPr>
      <w:keepNext/>
      <w:spacing w:after="0" w:line="240" w:lineRule="auto"/>
      <w:outlineLvl w:val="1"/>
    </w:pPr>
    <w:rPr>
      <w:rFonts w:ascii="Times New Roman" w:eastAsia="Times New Roman" w:hAnsi="Times New Roman" w:cs="David"/>
      <w:noProof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D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A38C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33C56"/>
  </w:style>
  <w:style w:type="character" w:styleId="a4">
    <w:name w:val="Strong"/>
    <w:basedOn w:val="a0"/>
    <w:uiPriority w:val="22"/>
    <w:qFormat/>
    <w:rsid w:val="00133C56"/>
    <w:rPr>
      <w:b/>
      <w:bCs/>
    </w:rPr>
  </w:style>
  <w:style w:type="character" w:customStyle="1" w:styleId="st1">
    <w:name w:val="st1"/>
    <w:basedOn w:val="a0"/>
    <w:rsid w:val="008D6DCC"/>
  </w:style>
  <w:style w:type="character" w:customStyle="1" w:styleId="20">
    <w:name w:val="כותרת 2 תו"/>
    <w:basedOn w:val="a0"/>
    <w:link w:val="2"/>
    <w:rsid w:val="00A909E0"/>
    <w:rPr>
      <w:rFonts w:ascii="Times New Roman" w:eastAsia="Times New Roman" w:hAnsi="Times New Roman" w:cs="David"/>
      <w:noProof/>
      <w:sz w:val="24"/>
      <w:szCs w:val="24"/>
      <w:u w:val="single"/>
      <w:lang w:eastAsia="he-IL"/>
    </w:rPr>
  </w:style>
  <w:style w:type="table" w:styleId="a5">
    <w:name w:val="Table Grid"/>
    <w:basedOn w:val="a1"/>
    <w:uiPriority w:val="59"/>
    <w:rsid w:val="00FC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reference">
    <w:name w:val="APA reference"/>
    <w:basedOn w:val="a"/>
    <w:rsid w:val="00C23410"/>
    <w:pPr>
      <w:keepLines/>
      <w:overflowPunct w:val="0"/>
      <w:autoSpaceDE w:val="0"/>
      <w:autoSpaceDN w:val="0"/>
      <w:bidi w:val="0"/>
      <w:adjustRightInd w:val="0"/>
      <w:spacing w:after="0" w:line="480" w:lineRule="auto"/>
      <w:ind w:firstLine="288"/>
      <w:textAlignment w:val="baseline"/>
    </w:pPr>
    <w:rPr>
      <w:rFonts w:ascii="Times New Roman" w:eastAsia="Times New Roman" w:hAnsi="Times New Roman" w:cs="Miriam"/>
      <w:sz w:val="24"/>
      <w:szCs w:val="24"/>
    </w:rPr>
  </w:style>
  <w:style w:type="paragraph" w:styleId="a6">
    <w:name w:val="header"/>
    <w:basedOn w:val="a"/>
    <w:link w:val="a7"/>
    <w:rsid w:val="00F72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כותרת עליונה תו"/>
    <w:basedOn w:val="a0"/>
    <w:link w:val="a6"/>
    <w:rsid w:val="00F7278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3">
    <w:name w:val="paragraph_style_3"/>
    <w:basedOn w:val="a"/>
    <w:rsid w:val="00196BFB"/>
    <w:pPr>
      <w:bidi w:val="0"/>
      <w:spacing w:after="0" w:line="225" w:lineRule="atLeast"/>
      <w:ind w:right="54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style11">
    <w:name w:val="style_11"/>
    <w:basedOn w:val="a0"/>
    <w:rsid w:val="00196BFB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A909E0"/>
    <w:pPr>
      <w:keepNext/>
      <w:spacing w:after="0" w:line="240" w:lineRule="auto"/>
      <w:outlineLvl w:val="1"/>
    </w:pPr>
    <w:rPr>
      <w:rFonts w:ascii="Times New Roman" w:eastAsia="Times New Roman" w:hAnsi="Times New Roman" w:cs="David"/>
      <w:noProof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D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A38C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33C56"/>
  </w:style>
  <w:style w:type="character" w:styleId="a4">
    <w:name w:val="Strong"/>
    <w:basedOn w:val="a0"/>
    <w:uiPriority w:val="22"/>
    <w:qFormat/>
    <w:rsid w:val="00133C56"/>
    <w:rPr>
      <w:b/>
      <w:bCs/>
    </w:rPr>
  </w:style>
  <w:style w:type="character" w:customStyle="1" w:styleId="st1">
    <w:name w:val="st1"/>
    <w:basedOn w:val="a0"/>
    <w:rsid w:val="008D6DCC"/>
  </w:style>
  <w:style w:type="character" w:customStyle="1" w:styleId="20">
    <w:name w:val="כותרת 2 תו"/>
    <w:basedOn w:val="a0"/>
    <w:link w:val="2"/>
    <w:rsid w:val="00A909E0"/>
    <w:rPr>
      <w:rFonts w:ascii="Times New Roman" w:eastAsia="Times New Roman" w:hAnsi="Times New Roman" w:cs="David"/>
      <w:noProof/>
      <w:sz w:val="24"/>
      <w:szCs w:val="24"/>
      <w:u w:val="single"/>
      <w:lang w:eastAsia="he-IL"/>
    </w:rPr>
  </w:style>
  <w:style w:type="table" w:styleId="a5">
    <w:name w:val="Table Grid"/>
    <w:basedOn w:val="a1"/>
    <w:uiPriority w:val="59"/>
    <w:rsid w:val="00FC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reference">
    <w:name w:val="APA reference"/>
    <w:basedOn w:val="a"/>
    <w:rsid w:val="00C23410"/>
    <w:pPr>
      <w:keepLines/>
      <w:overflowPunct w:val="0"/>
      <w:autoSpaceDE w:val="0"/>
      <w:autoSpaceDN w:val="0"/>
      <w:bidi w:val="0"/>
      <w:adjustRightInd w:val="0"/>
      <w:spacing w:after="0" w:line="480" w:lineRule="auto"/>
      <w:ind w:firstLine="288"/>
      <w:textAlignment w:val="baseline"/>
    </w:pPr>
    <w:rPr>
      <w:rFonts w:ascii="Times New Roman" w:eastAsia="Times New Roman" w:hAnsi="Times New Roman" w:cs="Miriam"/>
      <w:sz w:val="24"/>
      <w:szCs w:val="24"/>
    </w:rPr>
  </w:style>
  <w:style w:type="paragraph" w:styleId="a6">
    <w:name w:val="header"/>
    <w:basedOn w:val="a"/>
    <w:link w:val="a7"/>
    <w:rsid w:val="00F72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כותרת עליונה תו"/>
    <w:basedOn w:val="a0"/>
    <w:link w:val="a6"/>
    <w:rsid w:val="00F7278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3">
    <w:name w:val="paragraph_style_3"/>
    <w:basedOn w:val="a"/>
    <w:rsid w:val="00196BFB"/>
    <w:pPr>
      <w:bidi w:val="0"/>
      <w:spacing w:after="0" w:line="225" w:lineRule="atLeast"/>
      <w:ind w:right="54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style11">
    <w:name w:val="style_11"/>
    <w:basedOn w:val="a0"/>
    <w:rsid w:val="00196BFB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4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2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gay.co.il/item.php?id=8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BB4D-0D94-47C2-8FE2-2B50B92A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Gordon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ornat turin</dc:creator>
  <cp:lastModifiedBy>Frida Cohen</cp:lastModifiedBy>
  <cp:revision>2</cp:revision>
  <dcterms:created xsi:type="dcterms:W3CDTF">2014-12-23T07:48:00Z</dcterms:created>
  <dcterms:modified xsi:type="dcterms:W3CDTF">2014-12-23T07:48:00Z</dcterms:modified>
</cp:coreProperties>
</file>