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12" w:rsidRDefault="00B25F12" w:rsidP="00B25F12">
      <w:pPr>
        <w:ind w:left="-360" w:right="-540"/>
        <w:rPr>
          <w:rFonts w:cs="David" w:hint="cs"/>
          <w:sz w:val="20"/>
          <w:rtl/>
        </w:rPr>
      </w:pPr>
      <w:r>
        <w:rPr>
          <w:rFonts w:cs="David" w:hint="cs"/>
          <w:sz w:val="20"/>
          <w:rtl/>
        </w:rPr>
        <w:t>אוניברסיטת תל-אביב</w:t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  <w:t>סמסטר א', תשע"ה</w:t>
      </w:r>
    </w:p>
    <w:p w:rsidR="00B25F12" w:rsidRPr="006B4490" w:rsidRDefault="00B25F12" w:rsidP="00B25F12">
      <w:pPr>
        <w:ind w:left="-360" w:right="-540"/>
        <w:rPr>
          <w:rFonts w:cs="David"/>
          <w:sz w:val="20"/>
          <w:rtl/>
        </w:rPr>
      </w:pPr>
      <w:r>
        <w:rPr>
          <w:rFonts w:cs="David" w:hint="cs"/>
          <w:sz w:val="20"/>
          <w:rtl/>
        </w:rPr>
        <w:t>הפקולטה למדעי החברה</w:t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  <w:t>יום א', 16:00 - 12:00</w:t>
      </w:r>
    </w:p>
    <w:p w:rsidR="00B25F12" w:rsidRPr="006B4490" w:rsidRDefault="00B25F12" w:rsidP="00B25F12">
      <w:pPr>
        <w:ind w:left="-360" w:right="-540"/>
        <w:rPr>
          <w:rFonts w:cs="David"/>
          <w:sz w:val="20"/>
          <w:rtl/>
        </w:rPr>
      </w:pPr>
      <w:r>
        <w:rPr>
          <w:rFonts w:cs="David" w:hint="cs"/>
          <w:sz w:val="20"/>
          <w:rtl/>
        </w:rPr>
        <w:t>החוג לסוציולוגיה ואנתרופולוגיה</w:t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</w:r>
      <w:r>
        <w:rPr>
          <w:rFonts w:cs="David" w:hint="cs"/>
          <w:sz w:val="20"/>
          <w:rtl/>
        </w:rPr>
        <w:tab/>
        <w:t>קורס מס' 1041.4523</w:t>
      </w:r>
      <w:bookmarkStart w:id="0" w:name="_GoBack"/>
      <w:bookmarkEnd w:id="0"/>
    </w:p>
    <w:p w:rsidR="00B25F12" w:rsidRPr="006B4490" w:rsidRDefault="00B25F12" w:rsidP="00B25F12">
      <w:pPr>
        <w:ind w:left="-360" w:right="-540"/>
        <w:rPr>
          <w:rFonts w:cs="David"/>
          <w:sz w:val="28"/>
          <w:szCs w:val="28"/>
          <w:u w:val="single"/>
          <w:rtl/>
        </w:rPr>
      </w:pPr>
    </w:p>
    <w:p w:rsidR="00B25F12" w:rsidRPr="006B4490" w:rsidRDefault="00B25F12" w:rsidP="00B25F12">
      <w:pPr>
        <w:ind w:left="-360" w:right="-540"/>
        <w:jc w:val="center"/>
        <w:rPr>
          <w:rFonts w:cs="David"/>
          <w:sz w:val="28"/>
          <w:szCs w:val="28"/>
          <w:u w:val="single"/>
          <w:rtl/>
        </w:rPr>
      </w:pPr>
      <w:r w:rsidRPr="006B4490">
        <w:rPr>
          <w:rFonts w:cs="David" w:hint="cs"/>
          <w:sz w:val="28"/>
          <w:szCs w:val="28"/>
          <w:u w:val="single"/>
          <w:rtl/>
        </w:rPr>
        <w:t>מדינת הרווחה ואי-שוויון מגדרי</w:t>
      </w:r>
    </w:p>
    <w:p w:rsidR="00B25F12" w:rsidRPr="006B4490" w:rsidRDefault="00B25F12" w:rsidP="00B25F12">
      <w:pPr>
        <w:ind w:left="-360" w:right="-540"/>
        <w:jc w:val="center"/>
        <w:rPr>
          <w:rFonts w:cs="David"/>
          <w:sz w:val="20"/>
          <w:rtl/>
        </w:rPr>
      </w:pPr>
    </w:p>
    <w:p w:rsidR="00B25F12" w:rsidRPr="006B4490" w:rsidRDefault="00B25F12" w:rsidP="00B25F12">
      <w:pPr>
        <w:ind w:left="-360" w:right="-540"/>
        <w:jc w:val="center"/>
        <w:rPr>
          <w:rFonts w:cs="David"/>
          <w:sz w:val="20"/>
          <w:rtl/>
        </w:rPr>
      </w:pPr>
      <w:r w:rsidRPr="006B4490">
        <w:rPr>
          <w:rFonts w:cs="David" w:hint="cs"/>
          <w:sz w:val="20"/>
          <w:rtl/>
        </w:rPr>
        <w:t>ד"ר הדס מנדל</w:t>
      </w:r>
    </w:p>
    <w:p w:rsidR="00B25F12" w:rsidRPr="006B4490" w:rsidRDefault="00B25F12" w:rsidP="00B25F12">
      <w:pPr>
        <w:ind w:left="-360" w:right="-540"/>
        <w:jc w:val="center"/>
        <w:rPr>
          <w:rFonts w:cs="David"/>
          <w:sz w:val="20"/>
          <w:rtl/>
        </w:rPr>
      </w:pPr>
    </w:p>
    <w:p w:rsidR="00B25F12" w:rsidRPr="006B4490" w:rsidRDefault="00B25F12" w:rsidP="00B25F12">
      <w:pPr>
        <w:ind w:left="-360" w:right="-540"/>
        <w:rPr>
          <w:rFonts w:cs="David"/>
          <w:sz w:val="20"/>
          <w:rtl/>
        </w:rPr>
      </w:pPr>
    </w:p>
    <w:p w:rsidR="00B25F12" w:rsidRPr="006B4490" w:rsidRDefault="00B25F12" w:rsidP="00B25F12">
      <w:pPr>
        <w:ind w:left="-360" w:right="-540"/>
        <w:rPr>
          <w:rFonts w:cs="David"/>
          <w:sz w:val="20"/>
          <w:rtl/>
        </w:rPr>
      </w:pPr>
      <w:r w:rsidRPr="006B4490">
        <w:rPr>
          <w:rFonts w:cs="David" w:hint="cs"/>
          <w:sz w:val="20"/>
          <w:rtl/>
        </w:rPr>
        <w:t xml:space="preserve">שעת קבלה: </w:t>
      </w:r>
    </w:p>
    <w:p w:rsidR="00B25F12" w:rsidRPr="006B4490" w:rsidRDefault="00B25F12" w:rsidP="00B25F12">
      <w:pPr>
        <w:ind w:left="-354" w:right="360"/>
        <w:rPr>
          <w:rFonts w:cs="David"/>
          <w:sz w:val="20"/>
          <w:rtl/>
        </w:rPr>
      </w:pPr>
      <w:r w:rsidRPr="006B4490">
        <w:rPr>
          <w:rFonts w:cs="David" w:hint="cs"/>
          <w:sz w:val="20"/>
          <w:rtl/>
        </w:rPr>
        <w:t>לפי תיאום מראש. חדר: 637, טלפון: 6407922</w:t>
      </w:r>
    </w:p>
    <w:p w:rsidR="00B25F12" w:rsidRPr="006B4490" w:rsidRDefault="00B25F12" w:rsidP="00B25F12">
      <w:pPr>
        <w:ind w:left="-360" w:right="-540"/>
        <w:rPr>
          <w:rFonts w:cs="David"/>
          <w:rtl/>
        </w:rPr>
      </w:pPr>
      <w:proofErr w:type="gramStart"/>
      <w:r w:rsidRPr="006B4490">
        <w:rPr>
          <w:rFonts w:cs="David"/>
        </w:rPr>
        <w:t>e-mail</w:t>
      </w:r>
      <w:proofErr w:type="gramEnd"/>
      <w:r w:rsidRPr="006B4490">
        <w:rPr>
          <w:rFonts w:cs="David"/>
        </w:rPr>
        <w:t>: hadasm@post.tau.ac.il</w:t>
      </w:r>
    </w:p>
    <w:p w:rsidR="00B25F12" w:rsidRPr="006B4490" w:rsidRDefault="00B25F12" w:rsidP="00B25F12">
      <w:pPr>
        <w:ind w:left="-360" w:right="-540"/>
        <w:rPr>
          <w:rFonts w:cs="David"/>
          <w:sz w:val="20"/>
          <w:rtl/>
        </w:rPr>
      </w:pPr>
    </w:p>
    <w:p w:rsidR="00B25F12" w:rsidRPr="006B4490" w:rsidRDefault="00B25F12" w:rsidP="00B25F12">
      <w:pPr>
        <w:rPr>
          <w:rFonts w:cs="David"/>
          <w:sz w:val="20"/>
          <w:rtl/>
        </w:rPr>
      </w:pPr>
    </w:p>
    <w:p w:rsidR="00B25F12" w:rsidRPr="006B4490" w:rsidRDefault="00B25F12" w:rsidP="00B25F12">
      <w:pPr>
        <w:rPr>
          <w:rFonts w:cs="David"/>
          <w:sz w:val="20"/>
          <w:rtl/>
        </w:rPr>
      </w:pPr>
    </w:p>
    <w:p w:rsidR="00B25F12" w:rsidRPr="003C3B54" w:rsidRDefault="00B25F12" w:rsidP="00B25F12">
      <w:pPr>
        <w:pStyle w:val="4"/>
        <w:spacing w:line="360" w:lineRule="auto"/>
        <w:ind w:left="-360" w:right="180"/>
        <w:rPr>
          <w:u w:val="none"/>
          <w:rtl/>
        </w:rPr>
      </w:pPr>
      <w:r w:rsidRPr="003C3B54">
        <w:rPr>
          <w:u w:val="none"/>
          <w:rtl/>
        </w:rPr>
        <w:t>העלייה הדרמטית ב</w:t>
      </w:r>
      <w:r w:rsidRPr="003C3B54">
        <w:rPr>
          <w:rFonts w:hint="cs"/>
          <w:u w:val="none"/>
          <w:rtl/>
        </w:rPr>
        <w:t xml:space="preserve">השתלבותן </w:t>
      </w:r>
      <w:r w:rsidRPr="003C3B54">
        <w:rPr>
          <w:u w:val="none"/>
          <w:rtl/>
        </w:rPr>
        <w:t xml:space="preserve">של נשים </w:t>
      </w:r>
      <w:r w:rsidRPr="003C3B54">
        <w:rPr>
          <w:rFonts w:hint="cs"/>
          <w:u w:val="none"/>
          <w:rtl/>
        </w:rPr>
        <w:t>בספירה הציבורית לא הולידה עליה מקבילה בהשתלבותם של גברים בספירה הביתית. שינוי לא שוויוני זה חידד את הצורך במדיניות שתסייע לנשים לשלב בין</w:t>
      </w:r>
      <w:r>
        <w:rPr>
          <w:rFonts w:hint="cs"/>
          <w:u w:val="none"/>
          <w:rtl/>
        </w:rPr>
        <w:t xml:space="preserve"> הספירה הציבורית והפרטית</w:t>
      </w:r>
      <w:r w:rsidRPr="003C3B54">
        <w:rPr>
          <w:rFonts w:hint="cs"/>
          <w:u w:val="none"/>
          <w:rtl/>
        </w:rPr>
        <w:t xml:space="preserve">, והעלה את ההתעניינות המחקרית בהשלכות </w:t>
      </w:r>
      <w:r w:rsidRPr="003C3B54">
        <w:rPr>
          <w:u w:val="none"/>
          <w:rtl/>
        </w:rPr>
        <w:t xml:space="preserve">מדיניות </w:t>
      </w:r>
      <w:r w:rsidRPr="003C3B54">
        <w:rPr>
          <w:rFonts w:hint="cs"/>
          <w:u w:val="none"/>
          <w:rtl/>
        </w:rPr>
        <w:t>זו</w:t>
      </w:r>
      <w:r w:rsidRPr="003C3B54">
        <w:rPr>
          <w:u w:val="none"/>
          <w:rtl/>
        </w:rPr>
        <w:t xml:space="preserve"> על אי השוויון בין נשים וגברים. </w:t>
      </w:r>
      <w:r w:rsidRPr="006B4490">
        <w:rPr>
          <w:u w:val="none"/>
          <w:rtl/>
        </w:rPr>
        <w:t xml:space="preserve">בסמינר זה </w:t>
      </w:r>
      <w:r>
        <w:rPr>
          <w:rFonts w:hint="cs"/>
          <w:u w:val="none"/>
          <w:rtl/>
        </w:rPr>
        <w:t>נביט על פעולות מדינת הרווחה ב</w:t>
      </w:r>
      <w:r w:rsidRPr="006B4490">
        <w:rPr>
          <w:u w:val="none"/>
          <w:rtl/>
        </w:rPr>
        <w:t xml:space="preserve">עיניים </w:t>
      </w:r>
      <w:r w:rsidRPr="006B4490">
        <w:rPr>
          <w:rFonts w:hint="cs"/>
          <w:u w:val="none"/>
          <w:rtl/>
        </w:rPr>
        <w:t>"</w:t>
      </w:r>
      <w:r w:rsidRPr="006B4490">
        <w:rPr>
          <w:u w:val="none"/>
          <w:rtl/>
        </w:rPr>
        <w:t xml:space="preserve">מגדריות", ננסה להבין </w:t>
      </w:r>
      <w:r>
        <w:rPr>
          <w:rFonts w:hint="cs"/>
          <w:u w:val="none"/>
          <w:rtl/>
        </w:rPr>
        <w:t>באיזה אופן</w:t>
      </w:r>
      <w:r w:rsidRPr="006B4490">
        <w:rPr>
          <w:u w:val="none"/>
          <w:rtl/>
        </w:rPr>
        <w:t xml:space="preserve"> </w:t>
      </w:r>
      <w:r w:rsidRPr="006B4490">
        <w:rPr>
          <w:rFonts w:hint="cs"/>
          <w:u w:val="none"/>
          <w:rtl/>
        </w:rPr>
        <w:t>פועלים תהליכים כלכליים ומוסדות חברתיים</w:t>
      </w:r>
      <w:r w:rsidRPr="006B4490">
        <w:rPr>
          <w:u w:val="none"/>
          <w:rtl/>
        </w:rPr>
        <w:t xml:space="preserve"> על אי השוויון המגדרי, ואת הדרך בה הם מעצבים את אופיו. </w:t>
      </w:r>
    </w:p>
    <w:p w:rsidR="00B25F12" w:rsidRPr="003C3B54" w:rsidRDefault="00B25F12" w:rsidP="00B25F12">
      <w:pPr>
        <w:rPr>
          <w:rtl/>
        </w:rPr>
      </w:pPr>
    </w:p>
    <w:p w:rsidR="00B25F12" w:rsidRPr="006B4490" w:rsidRDefault="00B25F12" w:rsidP="00B25F12">
      <w:pPr>
        <w:ind w:right="-360"/>
        <w:rPr>
          <w:rFonts w:cs="David"/>
          <w:sz w:val="20"/>
          <w:rtl/>
        </w:rPr>
      </w:pPr>
    </w:p>
    <w:p w:rsidR="00B25F12" w:rsidRPr="006B4490" w:rsidRDefault="00B25F12" w:rsidP="00B25F12">
      <w:pPr>
        <w:ind w:right="-360"/>
        <w:rPr>
          <w:rFonts w:cs="David"/>
          <w:sz w:val="20"/>
          <w:rtl/>
        </w:rPr>
      </w:pPr>
    </w:p>
    <w:p w:rsidR="00B25F12" w:rsidRPr="006B4490" w:rsidRDefault="00B25F12" w:rsidP="00B25F12">
      <w:pPr>
        <w:pStyle w:val="4"/>
        <w:spacing w:line="360" w:lineRule="auto"/>
        <w:ind w:left="-360"/>
        <w:jc w:val="both"/>
        <w:rPr>
          <w:rtl/>
        </w:rPr>
      </w:pPr>
      <w:r w:rsidRPr="006B4490">
        <w:rPr>
          <w:rtl/>
        </w:rPr>
        <w:t>חובות הקורס</w:t>
      </w:r>
    </w:p>
    <w:p w:rsidR="00B25F12" w:rsidRDefault="00B25F12" w:rsidP="00B25F12">
      <w:pPr>
        <w:numPr>
          <w:ilvl w:val="0"/>
          <w:numId w:val="1"/>
        </w:numPr>
        <w:tabs>
          <w:tab w:val="num" w:pos="0"/>
        </w:tabs>
        <w:spacing w:line="360" w:lineRule="auto"/>
        <w:ind w:left="-360" w:firstLine="0"/>
        <w:jc w:val="both"/>
        <w:rPr>
          <w:rFonts w:cs="David"/>
        </w:rPr>
      </w:pPr>
      <w:r>
        <w:rPr>
          <w:rFonts w:cs="David" w:hint="cs"/>
          <w:rtl/>
        </w:rPr>
        <w:t>נוכחות ב</w:t>
      </w:r>
      <w:r w:rsidRPr="007B215E">
        <w:rPr>
          <w:rFonts w:cs="David" w:hint="cs"/>
          <w:b/>
          <w:bCs/>
          <w:rtl/>
        </w:rPr>
        <w:t>כל</w:t>
      </w:r>
      <w:r>
        <w:rPr>
          <w:rFonts w:cs="David" w:hint="cs"/>
          <w:rtl/>
        </w:rPr>
        <w:t xml:space="preserve"> השיעורים והמפגשים האישיים. </w:t>
      </w:r>
    </w:p>
    <w:p w:rsidR="00B25F12" w:rsidRPr="006B4490" w:rsidRDefault="00B25F12" w:rsidP="00B25F12">
      <w:pPr>
        <w:numPr>
          <w:ilvl w:val="0"/>
          <w:numId w:val="1"/>
        </w:numPr>
        <w:tabs>
          <w:tab w:val="num" w:pos="0"/>
        </w:tabs>
        <w:spacing w:line="360" w:lineRule="auto"/>
        <w:ind w:left="-360" w:firstLine="0"/>
        <w:jc w:val="both"/>
        <w:rPr>
          <w:rFonts w:cs="David"/>
        </w:rPr>
      </w:pPr>
      <w:r w:rsidRPr="006B4490">
        <w:rPr>
          <w:rFonts w:cs="David"/>
          <w:rtl/>
        </w:rPr>
        <w:t xml:space="preserve">קריאת הפריטים </w:t>
      </w:r>
      <w:r w:rsidRPr="006B4490">
        <w:rPr>
          <w:rFonts w:cs="David" w:hint="cs"/>
          <w:rtl/>
        </w:rPr>
        <w:t>הרלוונטיי</w:t>
      </w:r>
      <w:r w:rsidRPr="006B4490">
        <w:rPr>
          <w:rFonts w:cs="David" w:hint="eastAsia"/>
          <w:rtl/>
        </w:rPr>
        <w:t>ם</w:t>
      </w:r>
      <w:r w:rsidRPr="006B4490">
        <w:rPr>
          <w:rFonts w:cs="David" w:hint="cs"/>
          <w:rtl/>
        </w:rPr>
        <w:t xml:space="preserve"> לכל שיעור מתוך ה</w:t>
      </w:r>
      <w:r w:rsidRPr="006B4490">
        <w:rPr>
          <w:rFonts w:cs="David"/>
          <w:rtl/>
        </w:rPr>
        <w:t xml:space="preserve">רשימה </w:t>
      </w:r>
      <w:r w:rsidRPr="006B4490">
        <w:rPr>
          <w:rFonts w:cs="David" w:hint="cs"/>
          <w:rtl/>
        </w:rPr>
        <w:t>הביבליוגרפית והשתתפות פעילה בשיעורים.</w:t>
      </w:r>
    </w:p>
    <w:p w:rsidR="00B25F12" w:rsidRPr="006B4490" w:rsidRDefault="00B25F12" w:rsidP="00B25F12">
      <w:pPr>
        <w:numPr>
          <w:ilvl w:val="0"/>
          <w:numId w:val="1"/>
        </w:numPr>
        <w:tabs>
          <w:tab w:val="num" w:pos="0"/>
        </w:tabs>
        <w:spacing w:line="360" w:lineRule="auto"/>
        <w:ind w:left="-360" w:firstLine="0"/>
        <w:jc w:val="both"/>
        <w:rPr>
          <w:rFonts w:cs="David"/>
        </w:rPr>
      </w:pPr>
      <w:r w:rsidRPr="006B4490">
        <w:rPr>
          <w:rFonts w:cs="David" w:hint="cs"/>
          <w:rtl/>
        </w:rPr>
        <w:t>פרזנטציה</w:t>
      </w:r>
      <w:r w:rsidRPr="006B4490">
        <w:rPr>
          <w:rFonts w:cs="David"/>
          <w:rtl/>
        </w:rPr>
        <w:t>–</w:t>
      </w:r>
      <w:r w:rsidRPr="006B4490">
        <w:rPr>
          <w:rFonts w:cs="David" w:hint="cs"/>
          <w:rtl/>
        </w:rPr>
        <w:t xml:space="preserve"> הצגת הרציונל התיאורטי של ה</w:t>
      </w:r>
      <w:r>
        <w:rPr>
          <w:rFonts w:cs="David" w:hint="cs"/>
          <w:rtl/>
        </w:rPr>
        <w:t>עבודה</w:t>
      </w:r>
      <w:r w:rsidRPr="006B4490">
        <w:rPr>
          <w:rFonts w:cs="David" w:hint="cs"/>
          <w:rtl/>
        </w:rPr>
        <w:t xml:space="preserve"> ושיטת החקירה.  </w:t>
      </w:r>
    </w:p>
    <w:p w:rsidR="00B25F12" w:rsidRPr="006B4490" w:rsidRDefault="00B25F12" w:rsidP="00B25F12">
      <w:pPr>
        <w:numPr>
          <w:ilvl w:val="0"/>
          <w:numId w:val="1"/>
        </w:numPr>
        <w:tabs>
          <w:tab w:val="num" w:pos="0"/>
        </w:tabs>
        <w:spacing w:line="360" w:lineRule="auto"/>
        <w:ind w:left="-360" w:firstLine="0"/>
        <w:jc w:val="both"/>
        <w:rPr>
          <w:rFonts w:cs="David"/>
          <w:b/>
          <w:bCs/>
          <w:sz w:val="20"/>
          <w:u w:val="single"/>
        </w:rPr>
      </w:pPr>
      <w:r w:rsidRPr="006B4490">
        <w:rPr>
          <w:rFonts w:cs="David" w:hint="cs"/>
          <w:rtl/>
        </w:rPr>
        <w:t>הגשת עבודה סמינריונית.</w:t>
      </w:r>
      <w:r w:rsidRPr="006B4490">
        <w:rPr>
          <w:rFonts w:hint="cs"/>
          <w:rtl/>
        </w:rPr>
        <w:t xml:space="preserve"> </w:t>
      </w:r>
      <w:r w:rsidRPr="006B4490">
        <w:rPr>
          <w:rFonts w:cs="David" w:hint="cs"/>
          <w:rtl/>
        </w:rPr>
        <w:t xml:space="preserve">הנחיות מפורטות להגשת העבודה </w:t>
      </w:r>
      <w:r>
        <w:rPr>
          <w:rFonts w:cs="David" w:hint="cs"/>
          <w:rtl/>
        </w:rPr>
        <w:t>מפורסמות</w:t>
      </w:r>
      <w:r w:rsidRPr="006B4490">
        <w:rPr>
          <w:rFonts w:cs="David" w:hint="cs"/>
          <w:rtl/>
        </w:rPr>
        <w:t xml:space="preserve"> באתר הקורס. לא יתקבלו עבודות שלא אושרו על יד המרצה במהלך השנה.</w:t>
      </w:r>
      <w:r w:rsidRPr="006B4490">
        <w:rPr>
          <w:rFonts w:cs="David" w:hint="cs"/>
          <w:b/>
          <w:bCs/>
          <w:sz w:val="20"/>
          <w:u w:val="single"/>
          <w:rtl/>
        </w:rPr>
        <w:t xml:space="preserve">  </w:t>
      </w:r>
    </w:p>
    <w:p w:rsidR="00B25F12" w:rsidRPr="006B4490" w:rsidRDefault="00B25F12" w:rsidP="00B25F12">
      <w:pPr>
        <w:rPr>
          <w:rtl/>
        </w:rPr>
      </w:pPr>
    </w:p>
    <w:p w:rsidR="00B25F12" w:rsidRPr="006B4490" w:rsidRDefault="00B25F12" w:rsidP="00B25F12">
      <w:pPr>
        <w:rPr>
          <w:rtl/>
        </w:rPr>
      </w:pPr>
    </w:p>
    <w:p w:rsidR="00B25F12" w:rsidRPr="006B4490" w:rsidRDefault="00B25F12" w:rsidP="00B25F12">
      <w:pPr>
        <w:pStyle w:val="4"/>
        <w:spacing w:line="360" w:lineRule="auto"/>
        <w:ind w:left="-360"/>
        <w:jc w:val="both"/>
        <w:rPr>
          <w:rtl/>
        </w:rPr>
      </w:pPr>
      <w:r w:rsidRPr="006B4490">
        <w:rPr>
          <w:rFonts w:hint="cs"/>
          <w:rtl/>
        </w:rPr>
        <w:t>ציון סופי</w:t>
      </w:r>
      <w:r>
        <w:rPr>
          <w:rFonts w:hint="cs"/>
          <w:rtl/>
        </w:rPr>
        <w:t xml:space="preserve"> </w:t>
      </w:r>
    </w:p>
    <w:p w:rsidR="00B25F12" w:rsidRDefault="00B25F12" w:rsidP="00B25F12">
      <w:pPr>
        <w:numPr>
          <w:ilvl w:val="0"/>
          <w:numId w:val="2"/>
        </w:numPr>
        <w:spacing w:line="360" w:lineRule="auto"/>
        <w:jc w:val="both"/>
        <w:rPr>
          <w:rFonts w:cs="David"/>
          <w:rtl/>
        </w:rPr>
      </w:pPr>
      <w:r w:rsidRPr="006B4490">
        <w:rPr>
          <w:rFonts w:cs="David" w:hint="cs"/>
          <w:rtl/>
        </w:rPr>
        <w:t xml:space="preserve">נוכחות והשתתפות פעילה בשיעור ובמפגשים אישיים - 10%.   </w:t>
      </w:r>
    </w:p>
    <w:p w:rsidR="00B25F12" w:rsidRDefault="00B25F12" w:rsidP="00B25F12">
      <w:pPr>
        <w:numPr>
          <w:ilvl w:val="0"/>
          <w:numId w:val="2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פרזנטציה של העבודה הסמינריונית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20%. </w:t>
      </w:r>
    </w:p>
    <w:p w:rsidR="00B25F12" w:rsidRDefault="00B25F12" w:rsidP="00B25F12">
      <w:pPr>
        <w:numPr>
          <w:ilvl w:val="0"/>
          <w:numId w:val="2"/>
        </w:numPr>
        <w:spacing w:line="360" w:lineRule="auto"/>
        <w:jc w:val="both"/>
        <w:rPr>
          <w:rFonts w:cs="David"/>
          <w:rtl/>
        </w:rPr>
      </w:pPr>
      <w:r w:rsidRPr="006B4490">
        <w:rPr>
          <w:rFonts w:cs="David" w:hint="cs"/>
          <w:rtl/>
        </w:rPr>
        <w:t>עבודה סמינריונית</w:t>
      </w:r>
      <w:r>
        <w:rPr>
          <w:rFonts w:cs="David" w:hint="cs"/>
          <w:rtl/>
        </w:rPr>
        <w:t xml:space="preserve"> -</w:t>
      </w:r>
      <w:r w:rsidRPr="006B4490">
        <w:rPr>
          <w:rFonts w:cs="David" w:hint="cs"/>
          <w:rtl/>
        </w:rPr>
        <w:t xml:space="preserve"> 70%. </w:t>
      </w:r>
    </w:p>
    <w:p w:rsidR="00B25F12" w:rsidRPr="000D7540" w:rsidRDefault="00B25F12" w:rsidP="00B25F12">
      <w:pPr>
        <w:rPr>
          <w:rFonts w:cs="David"/>
          <w:sz w:val="22"/>
          <w:szCs w:val="22"/>
          <w:rtl/>
        </w:rPr>
      </w:pPr>
      <w:r w:rsidRPr="000D7540">
        <w:rPr>
          <w:rFonts w:cs="David" w:hint="cs"/>
          <w:sz w:val="22"/>
          <w:szCs w:val="22"/>
          <w:rtl/>
        </w:rPr>
        <w:t xml:space="preserve">פרזנטציה של העבודה הסמינריונית: יש להציג את שאלת המחקר באופן ברור, את הרקע התיאורטי וההשערות (אם קיימות), ואת שיטת המחקר: איך תיבדק השאלה, באופן מפורט. במידה ויש ממצאים תיאוריים כדאי מאד להציגם. </w:t>
      </w:r>
    </w:p>
    <w:p w:rsidR="00B25F12" w:rsidRPr="000D7540" w:rsidRDefault="00B25F12" w:rsidP="00B25F12">
      <w:pPr>
        <w:rPr>
          <w:rFonts w:cs="David"/>
          <w:sz w:val="22"/>
          <w:szCs w:val="22"/>
          <w:rtl/>
        </w:rPr>
      </w:pPr>
    </w:p>
    <w:p w:rsidR="00B25F12" w:rsidRDefault="00B25F12" w:rsidP="00B25F12">
      <w:pPr>
        <w:rPr>
          <w:rtl/>
        </w:rPr>
      </w:pPr>
      <w:r w:rsidRPr="007B215E">
        <w:rPr>
          <w:rFonts w:cs="David" w:hint="cs"/>
          <w:rtl/>
        </w:rPr>
        <w:t>הוראות ברורות להגשתם העבודה סמינריונית נמצאות באתר הסמינר</w:t>
      </w:r>
      <w:r>
        <w:rPr>
          <w:rFonts w:hint="cs"/>
          <w:rtl/>
        </w:rPr>
        <w:t xml:space="preserve">. </w:t>
      </w:r>
    </w:p>
    <w:p w:rsidR="00B25F12" w:rsidRPr="006B4490" w:rsidRDefault="00B25F12" w:rsidP="00B25F12">
      <w:pPr>
        <w:rPr>
          <w:rtl/>
        </w:rPr>
      </w:pPr>
    </w:p>
    <w:p w:rsidR="00B25F12" w:rsidRDefault="00B25F12" w:rsidP="00B25F12">
      <w:pPr>
        <w:ind w:left="-360" w:right="-360"/>
        <w:jc w:val="right"/>
        <w:rPr>
          <w:b/>
          <w:bCs/>
          <w:u w:val="single"/>
        </w:rPr>
      </w:pPr>
      <w:r w:rsidRPr="006B4490">
        <w:rPr>
          <w:b/>
          <w:bCs/>
          <w:u w:val="single"/>
        </w:rPr>
        <w:t>Articles</w:t>
      </w:r>
    </w:p>
    <w:p w:rsidR="00B25F12" w:rsidRDefault="00B25F12" w:rsidP="00B25F12">
      <w:pPr>
        <w:ind w:left="-360" w:right="-360"/>
        <w:jc w:val="right"/>
        <w:rPr>
          <w:b/>
          <w:bCs/>
          <w:u w:val="single"/>
        </w:rPr>
      </w:pPr>
    </w:p>
    <w:p w:rsidR="00B25F12" w:rsidRPr="005440DC" w:rsidRDefault="00B25F12" w:rsidP="00B25F12">
      <w:pPr>
        <w:ind w:left="-360" w:right="-360"/>
        <w:jc w:val="right"/>
        <w:rPr>
          <w:b/>
          <w:bCs/>
          <w:u w:val="single"/>
        </w:rPr>
      </w:pPr>
      <w:proofErr w:type="spellStart"/>
      <w:r w:rsidRPr="006B4490">
        <w:t>Blau</w:t>
      </w:r>
      <w:proofErr w:type="spellEnd"/>
      <w:r w:rsidRPr="006B4490">
        <w:t xml:space="preserve"> F. D. 1998. </w:t>
      </w:r>
      <w:proofErr w:type="gramStart"/>
      <w:r w:rsidRPr="006B4490">
        <w:t>“The Gender Pay Gap”.</w:t>
      </w:r>
      <w:proofErr w:type="gramEnd"/>
      <w:r w:rsidRPr="006B4490">
        <w:t xml:space="preserve"> In: </w:t>
      </w:r>
      <w:proofErr w:type="spellStart"/>
      <w:r w:rsidRPr="006B4490">
        <w:t>Persson</w:t>
      </w:r>
      <w:proofErr w:type="spellEnd"/>
      <w:r w:rsidRPr="006B4490">
        <w:t xml:space="preserve"> I. and </w:t>
      </w:r>
      <w:proofErr w:type="spellStart"/>
      <w:r w:rsidRPr="006B4490">
        <w:t>Jonung</w:t>
      </w:r>
      <w:proofErr w:type="spellEnd"/>
      <w:r w:rsidRPr="006B4490">
        <w:t xml:space="preserve"> C. (eds.)</w:t>
      </w:r>
      <w:proofErr w:type="gramStart"/>
      <w:r w:rsidRPr="006B4490">
        <w:t>,“</w:t>
      </w:r>
      <w:proofErr w:type="gramEnd"/>
      <w:r w:rsidRPr="006B4490">
        <w:t xml:space="preserve">Women’s Work and Wages”. </w:t>
      </w:r>
      <w:proofErr w:type="gramStart"/>
      <w:r w:rsidRPr="006B4490">
        <w:t>Routledge.</w:t>
      </w:r>
      <w:proofErr w:type="gramEnd"/>
      <w:r w:rsidRPr="006B4490">
        <w:t xml:space="preserve"> </w:t>
      </w:r>
      <w:proofErr w:type="gramStart"/>
      <w:r w:rsidRPr="006B4490">
        <w:t>London and New-York.</w:t>
      </w:r>
      <w:proofErr w:type="gramEnd"/>
      <w:r w:rsidRPr="006B4490">
        <w:t xml:space="preserve"> P. 15-35.</w:t>
      </w:r>
    </w:p>
    <w:p w:rsidR="00B25F12" w:rsidRPr="006B4490" w:rsidRDefault="00B25F12" w:rsidP="00B25F12">
      <w:pPr>
        <w:bidi w:val="0"/>
        <w:ind w:left="-360" w:right="-360"/>
        <w:jc w:val="both"/>
      </w:pPr>
    </w:p>
    <w:p w:rsidR="00B25F12" w:rsidRPr="006B4490" w:rsidRDefault="00B25F12" w:rsidP="00B25F12">
      <w:pPr>
        <w:bidi w:val="0"/>
        <w:ind w:left="-284" w:right="-360"/>
        <w:jc w:val="both"/>
      </w:pPr>
      <w:r w:rsidRPr="006B4490">
        <w:t>Charles</w:t>
      </w:r>
      <w:r>
        <w:t xml:space="preserve"> </w:t>
      </w:r>
      <w:r w:rsidRPr="006B4490">
        <w:t xml:space="preserve">Maria. 2005. "National Skill Regimes, </w:t>
      </w:r>
      <w:proofErr w:type="spellStart"/>
      <w:r w:rsidRPr="006B4490">
        <w:t>Postindustrialism</w:t>
      </w:r>
      <w:proofErr w:type="spellEnd"/>
      <w:r w:rsidRPr="006B4490">
        <w:t xml:space="preserve">, and Sex Segregation".  Social Politics: International Studies in Gender, State and Society Vol. 12 (2) 289-316.  </w:t>
      </w:r>
    </w:p>
    <w:p w:rsidR="00B25F12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bidi w:val="0"/>
        <w:ind w:left="-360" w:right="-360"/>
      </w:pPr>
      <w:proofErr w:type="spellStart"/>
      <w:proofErr w:type="gramStart"/>
      <w:r w:rsidRPr="006B4490">
        <w:t>Esping</w:t>
      </w:r>
      <w:proofErr w:type="spellEnd"/>
      <w:r w:rsidRPr="006B4490">
        <w:t>-Andersen, 1990, “The Three Political Economies of the Welfare State".</w:t>
      </w:r>
      <w:proofErr w:type="gramEnd"/>
      <w:r w:rsidRPr="006B4490">
        <w:t xml:space="preserve"> </w:t>
      </w:r>
      <w:proofErr w:type="gramStart"/>
      <w:r w:rsidRPr="006B4490">
        <w:t>in</w:t>
      </w:r>
      <w:proofErr w:type="gramEnd"/>
      <w:r w:rsidRPr="006B4490">
        <w:t xml:space="preserve">: The Three Worlds of Welfare Capitalism. </w:t>
      </w:r>
      <w:smartTag w:uri="urn:schemas-microsoft-com:office:smarttags" w:element="City">
        <w:smartTag w:uri="urn:schemas-microsoft-com:office:smarttags" w:element="place">
          <w:r w:rsidRPr="006B4490">
            <w:t>Cambridge</w:t>
          </w:r>
        </w:smartTag>
      </w:smartTag>
      <w:r w:rsidRPr="006B4490">
        <w:t xml:space="preserve">: Polity Press. </w:t>
      </w:r>
      <w:proofErr w:type="gramStart"/>
      <w:r w:rsidRPr="006B4490">
        <w:t>(Ch. 1: pp. 9-34).</w:t>
      </w:r>
      <w:proofErr w:type="gramEnd"/>
      <w:r w:rsidRPr="006B4490">
        <w:t xml:space="preserve"> </w:t>
      </w:r>
    </w:p>
    <w:p w:rsidR="00B25F12" w:rsidRPr="006B4490" w:rsidRDefault="00B25F12" w:rsidP="00B25F12">
      <w:pPr>
        <w:bidi w:val="0"/>
        <w:ind w:left="-360" w:right="-360"/>
        <w:jc w:val="both"/>
      </w:pPr>
    </w:p>
    <w:p w:rsidR="00B25F12" w:rsidRPr="006B4490" w:rsidRDefault="00B25F12" w:rsidP="00B25F12">
      <w:pPr>
        <w:bidi w:val="0"/>
        <w:ind w:left="-360" w:right="-360"/>
        <w:jc w:val="both"/>
      </w:pPr>
      <w:proofErr w:type="spellStart"/>
      <w:proofErr w:type="gramStart"/>
      <w:r w:rsidRPr="006B4490">
        <w:t>Esping</w:t>
      </w:r>
      <w:proofErr w:type="spellEnd"/>
      <w:r w:rsidRPr="006B4490">
        <w:t>-Andersen, 1999, “The Household Economy".</w:t>
      </w:r>
      <w:proofErr w:type="gramEnd"/>
      <w:r w:rsidRPr="006B4490">
        <w:t xml:space="preserve"> </w:t>
      </w:r>
      <w:proofErr w:type="gramStart"/>
      <w:r w:rsidRPr="006B4490">
        <w:t>in</w:t>
      </w:r>
      <w:proofErr w:type="gramEnd"/>
      <w:r w:rsidRPr="006B4490">
        <w:t xml:space="preserve">: Social Foundations of Postindustrial Economies, (Ch. 4: pp.47-71). </w:t>
      </w:r>
    </w:p>
    <w:p w:rsidR="00B25F12" w:rsidRPr="006B4490" w:rsidRDefault="00B25F12" w:rsidP="00B25F12">
      <w:pPr>
        <w:bidi w:val="0"/>
        <w:ind w:left="-360" w:right="-360"/>
        <w:jc w:val="both"/>
      </w:pPr>
    </w:p>
    <w:p w:rsidR="00B25F12" w:rsidRPr="006B4490" w:rsidRDefault="00B25F12" w:rsidP="00B25F12">
      <w:pPr>
        <w:bidi w:val="0"/>
        <w:ind w:left="-360" w:right="-360"/>
        <w:jc w:val="both"/>
      </w:pPr>
      <w:proofErr w:type="spellStart"/>
      <w:r w:rsidRPr="006B4490">
        <w:t>Esping</w:t>
      </w:r>
      <w:proofErr w:type="spellEnd"/>
      <w:r w:rsidRPr="006B4490">
        <w:t xml:space="preserve">-Andersen, 1999, “Comparative Welfare Regime Re-examined". </w:t>
      </w:r>
      <w:proofErr w:type="gramStart"/>
      <w:r w:rsidRPr="006B4490">
        <w:t>in</w:t>
      </w:r>
      <w:proofErr w:type="gramEnd"/>
      <w:r w:rsidRPr="006B4490">
        <w:t xml:space="preserve">: Social Foundations of Postindustrial Economies, (Ch. 5: pp. 74-94). </w:t>
      </w:r>
    </w:p>
    <w:p w:rsidR="00B25F12" w:rsidRDefault="00B25F12" w:rsidP="00B25F12">
      <w:pPr>
        <w:bidi w:val="0"/>
        <w:ind w:left="-284" w:right="-360"/>
        <w:jc w:val="both"/>
      </w:pPr>
    </w:p>
    <w:p w:rsidR="00B25F12" w:rsidRDefault="00B25F12" w:rsidP="00B25F12">
      <w:pPr>
        <w:bidi w:val="0"/>
        <w:ind w:left="-284" w:right="-360"/>
        <w:jc w:val="both"/>
      </w:pPr>
      <w:proofErr w:type="gramStart"/>
      <w:r w:rsidRPr="006B4490">
        <w:t>Estevez-Abe, M. 2005.</w:t>
      </w:r>
      <w:proofErr w:type="gramEnd"/>
      <w:r w:rsidRPr="006B4490">
        <w:t xml:space="preserve"> “Gender Bias in Skills and Social Policies: The Varieties of Capitalism Perspective on Sex Segregation.” Social Politics 12(2):180-215</w:t>
      </w:r>
    </w:p>
    <w:p w:rsidR="00B25F12" w:rsidRDefault="00B25F12" w:rsidP="00B25F12">
      <w:pPr>
        <w:bidi w:val="0"/>
        <w:ind w:left="-284" w:right="-360"/>
        <w:jc w:val="both"/>
      </w:pPr>
    </w:p>
    <w:p w:rsidR="00B25F12" w:rsidRPr="006B4490" w:rsidRDefault="00B25F12" w:rsidP="00B25F12">
      <w:pPr>
        <w:bidi w:val="0"/>
        <w:ind w:left="-284" w:right="-360"/>
        <w:jc w:val="both"/>
      </w:pPr>
      <w:proofErr w:type="spellStart"/>
      <w:r w:rsidRPr="006B4490">
        <w:t>Gornick</w:t>
      </w:r>
      <w:proofErr w:type="spellEnd"/>
      <w:r w:rsidRPr="006B4490">
        <w:t xml:space="preserve"> J. C., </w:t>
      </w:r>
      <w:proofErr w:type="spellStart"/>
      <w:r w:rsidRPr="006B4490">
        <w:t>Jecobs</w:t>
      </w:r>
      <w:proofErr w:type="spellEnd"/>
      <w:r w:rsidRPr="006B4490">
        <w:t xml:space="preserve"> J. A, 1998, “Gender, the welfare state, and the public employment: A comparative study of seven industrialized countries”, </w:t>
      </w:r>
      <w:r w:rsidRPr="006B4490">
        <w:rPr>
          <w:i/>
          <w:iCs/>
        </w:rPr>
        <w:t>American Sociological Review</w:t>
      </w:r>
      <w:r w:rsidRPr="006B4490">
        <w:t xml:space="preserve">, 63(5): 688-710.   </w:t>
      </w:r>
    </w:p>
    <w:p w:rsidR="00B25F12" w:rsidRPr="006B4490" w:rsidRDefault="00B25F12" w:rsidP="00B25F12">
      <w:pPr>
        <w:bidi w:val="0"/>
        <w:ind w:left="-360" w:right="-360"/>
        <w:jc w:val="both"/>
      </w:pPr>
    </w:p>
    <w:p w:rsidR="00B25F12" w:rsidRDefault="00B25F12" w:rsidP="00B25F12">
      <w:pPr>
        <w:bidi w:val="0"/>
        <w:ind w:left="-360" w:right="-360"/>
        <w:jc w:val="both"/>
      </w:pPr>
      <w:proofErr w:type="spellStart"/>
      <w:proofErr w:type="gramStart"/>
      <w:r w:rsidRPr="006B4490">
        <w:t>Gornick</w:t>
      </w:r>
      <w:proofErr w:type="spellEnd"/>
      <w:r w:rsidRPr="006B4490">
        <w:t>, J. C., M. K. Meyers, and K. E. Ross.</w:t>
      </w:r>
      <w:proofErr w:type="gramEnd"/>
      <w:r w:rsidRPr="006B4490">
        <w:t xml:space="preserve"> 1997. “Supporting the Employment of Mothers: Policy Variation across Fourteen Welfare States.” Journal of European Social Policy 7(1):45-70</w:t>
      </w:r>
      <w:r w:rsidRPr="006B4490">
        <w:rPr>
          <w:rtl/>
        </w:rPr>
        <w:t>.</w:t>
      </w:r>
    </w:p>
    <w:p w:rsidR="00B25F12" w:rsidRDefault="00B25F12" w:rsidP="00B25F12">
      <w:pPr>
        <w:bidi w:val="0"/>
        <w:ind w:left="-360" w:right="-360"/>
        <w:jc w:val="both"/>
      </w:pPr>
    </w:p>
    <w:p w:rsidR="00B25F12" w:rsidRPr="006B4490" w:rsidRDefault="00B25F12" w:rsidP="00B25F12">
      <w:pPr>
        <w:bidi w:val="0"/>
        <w:ind w:left="-360" w:right="-360"/>
        <w:jc w:val="both"/>
      </w:pPr>
      <w:r w:rsidRPr="006B4490">
        <w:t>Hansen M.N. 1997. “The Scandinavian Welfare State Model: The Impact of the Public Sector on Segregation and Gender Equality”. Work Employment and Society, 11(1): 83-99.</w:t>
      </w:r>
    </w:p>
    <w:p w:rsidR="00B25F12" w:rsidRPr="006B4490" w:rsidRDefault="00B25F12" w:rsidP="00B25F12">
      <w:pPr>
        <w:bidi w:val="0"/>
        <w:ind w:left="-360" w:right="-360"/>
        <w:jc w:val="both"/>
      </w:pPr>
    </w:p>
    <w:p w:rsidR="00B25F12" w:rsidRDefault="00B25F12" w:rsidP="00B25F12">
      <w:pPr>
        <w:bidi w:val="0"/>
        <w:ind w:left="-360" w:right="-360"/>
      </w:pPr>
      <w:proofErr w:type="gramStart"/>
      <w:r w:rsidRPr="006B4490">
        <w:t xml:space="preserve">Huber </w:t>
      </w:r>
      <w:proofErr w:type="spellStart"/>
      <w:r w:rsidRPr="006B4490">
        <w:t>Evelyne</w:t>
      </w:r>
      <w:proofErr w:type="spellEnd"/>
      <w:r w:rsidRPr="006B4490">
        <w:t xml:space="preserve"> and Stephens </w:t>
      </w:r>
      <w:proofErr w:type="spellStart"/>
      <w:r w:rsidRPr="006B4490">
        <w:t>John.D</w:t>
      </w:r>
      <w:proofErr w:type="spellEnd"/>
      <w:r w:rsidRPr="006B4490">
        <w:t>.</w:t>
      </w:r>
      <w:proofErr w:type="gramEnd"/>
      <w:r w:rsidRPr="006B4490">
        <w:t xml:space="preserve"> 2000. “Partisan Governance, Women’s </w:t>
      </w:r>
      <w:proofErr w:type="gramStart"/>
      <w:r w:rsidRPr="006B4490">
        <w:t>Employment,</w:t>
      </w:r>
      <w:proofErr w:type="gramEnd"/>
      <w:r w:rsidRPr="006B4490">
        <w:t xml:space="preserve"> and the Social Democratic Service State”. </w:t>
      </w:r>
      <w:proofErr w:type="gramStart"/>
      <w:r w:rsidRPr="006B4490">
        <w:t>American Sociological Review.</w:t>
      </w:r>
      <w:proofErr w:type="gramEnd"/>
      <w:r w:rsidRPr="006B4490">
        <w:t xml:space="preserve"> </w:t>
      </w:r>
      <w:proofErr w:type="spellStart"/>
      <w:r w:rsidRPr="006B4490">
        <w:t>Vol</w:t>
      </w:r>
      <w:proofErr w:type="spellEnd"/>
      <w:r w:rsidRPr="006B4490">
        <w:t xml:space="preserve"> 65, pp. 323-342.</w:t>
      </w:r>
    </w:p>
    <w:p w:rsidR="00B25F12" w:rsidRDefault="00B25F12" w:rsidP="00B25F12">
      <w:pPr>
        <w:bidi w:val="0"/>
        <w:ind w:left="-360" w:right="-360"/>
      </w:pPr>
    </w:p>
    <w:p w:rsidR="00B25F12" w:rsidRDefault="00B25F12" w:rsidP="00B25F12">
      <w:pPr>
        <w:bidi w:val="0"/>
        <w:ind w:left="-360" w:right="-360"/>
      </w:pPr>
      <w:proofErr w:type="gramStart"/>
      <w:r w:rsidRPr="0059227B">
        <w:t xml:space="preserve">Walter </w:t>
      </w:r>
      <w:proofErr w:type="spellStart"/>
      <w:r w:rsidRPr="0059227B">
        <w:t>Korpi</w:t>
      </w:r>
      <w:proofErr w:type="spellEnd"/>
      <w:r w:rsidRPr="0059227B">
        <w:t xml:space="preserve">, Tommy </w:t>
      </w:r>
      <w:proofErr w:type="spellStart"/>
      <w:r w:rsidRPr="0059227B">
        <w:t>Ferrarini</w:t>
      </w:r>
      <w:proofErr w:type="spellEnd"/>
      <w:r w:rsidRPr="0059227B">
        <w:t xml:space="preserve">, and Stefan </w:t>
      </w:r>
      <w:proofErr w:type="spellStart"/>
      <w:r w:rsidRPr="0059227B">
        <w:t>Englund</w:t>
      </w:r>
      <w:proofErr w:type="spellEnd"/>
      <w:r>
        <w:t>.</w:t>
      </w:r>
      <w:proofErr w:type="gramEnd"/>
      <w:r>
        <w:t xml:space="preserve"> 2012. “Women’s Opportunities under Different Family Policy Constellations: Gender, Class, and Inequality Tradeoffs in Western Countries Re-examined”. </w:t>
      </w:r>
      <w:proofErr w:type="gramStart"/>
      <w:r>
        <w:t>Social Politics.</w:t>
      </w:r>
      <w:proofErr w:type="gramEnd"/>
    </w:p>
    <w:p w:rsidR="00B25F12" w:rsidRDefault="00B25F12" w:rsidP="00B25F12">
      <w:pPr>
        <w:bidi w:val="0"/>
        <w:ind w:left="-360" w:right="-360"/>
      </w:pPr>
    </w:p>
    <w:p w:rsidR="00B25F12" w:rsidRDefault="00B25F12" w:rsidP="00B25F12">
      <w:pPr>
        <w:bidi w:val="0"/>
        <w:ind w:left="-360" w:right="-360"/>
      </w:pPr>
      <w:r w:rsidRPr="006B4490">
        <w:t>Lewis, Jane. 1992. “Gender and the Development of Welfare Regimes.” Journal of European Social Policy 2(3):159-73.</w:t>
      </w:r>
    </w:p>
    <w:p w:rsidR="00B25F12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bidi w:val="0"/>
        <w:ind w:left="-360" w:right="-360"/>
      </w:pPr>
      <w:r w:rsidRPr="006B4490">
        <w:t xml:space="preserve">Lewis, J. 1997. “Gender and Welfare Regimes: Further Thoughts.” </w:t>
      </w:r>
      <w:proofErr w:type="gramStart"/>
      <w:r w:rsidRPr="006B4490">
        <w:t>Social Politics.</w:t>
      </w:r>
      <w:proofErr w:type="gramEnd"/>
      <w:r w:rsidRPr="006B4490">
        <w:t xml:space="preserve"> International Studies in Gender, State and Society 4(2):160-77.</w:t>
      </w:r>
    </w:p>
    <w:p w:rsidR="00B25F12" w:rsidRPr="006B4490" w:rsidRDefault="00B25F12" w:rsidP="00B25F12">
      <w:pPr>
        <w:bidi w:val="0"/>
        <w:ind w:left="-360" w:right="-360"/>
      </w:pPr>
    </w:p>
    <w:p w:rsidR="00B25F12" w:rsidRDefault="00B25F12" w:rsidP="00B25F12">
      <w:pPr>
        <w:bidi w:val="0"/>
        <w:ind w:left="-357"/>
        <w:rPr>
          <w:rFonts w:ascii="TimesTen-Italic" w:hAnsi="TimesTen-Italic" w:cs="TimesTen-Italic"/>
        </w:rPr>
      </w:pPr>
      <w:r w:rsidRPr="006B4490">
        <w:t xml:space="preserve">Mandel Hadas. 2009. "Configurations of Gender Inequality: The Consequences </w:t>
      </w:r>
      <w:proofErr w:type="gramStart"/>
      <w:r w:rsidRPr="006B4490">
        <w:t xml:space="preserve">of </w:t>
      </w:r>
      <w:r>
        <w:t xml:space="preserve"> i</w:t>
      </w:r>
      <w:r w:rsidRPr="006B4490">
        <w:t>deology</w:t>
      </w:r>
      <w:proofErr w:type="gramEnd"/>
      <w:r w:rsidRPr="006B4490">
        <w:t xml:space="preserve"> and Public Policy". </w:t>
      </w:r>
      <w:r w:rsidRPr="008176A7">
        <w:rPr>
          <w:rFonts w:ascii="TimesTen-Italic" w:hAnsi="TimesTen-Italic" w:cs="TimesTen-Italic"/>
          <w:i/>
          <w:iCs/>
        </w:rPr>
        <w:t xml:space="preserve">The British Journal of Sociology </w:t>
      </w:r>
      <w:r w:rsidRPr="008176A7">
        <w:rPr>
          <w:rFonts w:ascii="TimesTen-Italic" w:hAnsi="TimesTen-Italic" w:cs="TimesTen-Italic"/>
        </w:rPr>
        <w:t>60(4): 693-719.</w:t>
      </w:r>
    </w:p>
    <w:p w:rsidR="00B25F12" w:rsidRPr="005440DC" w:rsidRDefault="00B25F12" w:rsidP="00B25F12">
      <w:pPr>
        <w:bidi w:val="0"/>
        <w:ind w:left="-357"/>
        <w:rPr>
          <w:rFonts w:ascii="TimesTen-Italic" w:hAnsi="TimesTen-Italic" w:cs="TimesTen-Italic"/>
        </w:rPr>
      </w:pPr>
      <w:r w:rsidRPr="0028504D">
        <w:t>Mandel Hadas. 2011. "Rethinking the Paradox: Tradeoffs in Work-Family Policy and Patterns of Gender Inequality". Community, Work &amp; Family 14(2): 159 - 176.</w:t>
      </w:r>
    </w:p>
    <w:p w:rsidR="00B25F12" w:rsidRPr="006B4490" w:rsidRDefault="00B25F12" w:rsidP="00B25F12">
      <w:pPr>
        <w:bidi w:val="0"/>
        <w:ind w:left="-357" w:firstLine="357"/>
      </w:pPr>
    </w:p>
    <w:p w:rsidR="00B25F12" w:rsidRPr="006B4490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bidi w:val="0"/>
        <w:ind w:left="-360" w:right="-360"/>
      </w:pPr>
      <w:proofErr w:type="gramStart"/>
      <w:r w:rsidRPr="006B4490">
        <w:t>Mandel, Hadas and Michael Shalev.</w:t>
      </w:r>
      <w:proofErr w:type="gramEnd"/>
      <w:r w:rsidRPr="006B4490">
        <w:t xml:space="preserve"> 2006. “How Welfare States Shape the Gender Pay Gap</w:t>
      </w:r>
      <w:proofErr w:type="gramStart"/>
      <w:r w:rsidRPr="006B4490">
        <w:t>:</w:t>
      </w:r>
      <w:proofErr w:type="gramEnd"/>
      <w:r w:rsidRPr="006B4490">
        <w:br/>
        <w:t xml:space="preserve">A Theoretical and Comparative Analysis.” </w:t>
      </w:r>
      <w:r w:rsidRPr="006B4490">
        <w:rPr>
          <w:i/>
          <w:iCs/>
        </w:rPr>
        <w:t xml:space="preserve">Social Forces, </w:t>
      </w:r>
      <w:r w:rsidRPr="006B4490">
        <w:t>87(4): 1873-1912.</w:t>
      </w:r>
    </w:p>
    <w:p w:rsidR="00B25F12" w:rsidRPr="006B4490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bidi w:val="0"/>
        <w:ind w:left="-360" w:right="-360"/>
      </w:pPr>
      <w:proofErr w:type="gramStart"/>
      <w:r w:rsidRPr="006B4490">
        <w:t>Mandel Hadas and Moshe Semyonov.</w:t>
      </w:r>
      <w:proofErr w:type="gramEnd"/>
      <w:r w:rsidRPr="006B4490">
        <w:t xml:space="preserve"> 2006. “A Welfare State Paradox: State Interventions and</w:t>
      </w:r>
    </w:p>
    <w:p w:rsidR="00B25F12" w:rsidRPr="006B4490" w:rsidRDefault="00B25F12" w:rsidP="00B25F12">
      <w:pPr>
        <w:bidi w:val="0"/>
        <w:ind w:left="-360" w:right="-360"/>
      </w:pPr>
      <w:r w:rsidRPr="006B4490">
        <w:t xml:space="preserve">Women’s Employment Opportunities in 22 Countries”. American Journal of Sociology, </w:t>
      </w:r>
    </w:p>
    <w:p w:rsidR="00B25F12" w:rsidRDefault="00B25F12" w:rsidP="00B25F12">
      <w:pPr>
        <w:bidi w:val="0"/>
        <w:ind w:left="-360" w:right="-360"/>
      </w:pPr>
      <w:proofErr w:type="gramStart"/>
      <w:r w:rsidRPr="006B4490">
        <w:t>vol</w:t>
      </w:r>
      <w:proofErr w:type="gramEnd"/>
      <w:r w:rsidRPr="006B4490">
        <w:t>. 111(6) pp. 1910-49</w:t>
      </w:r>
    </w:p>
    <w:p w:rsidR="00B25F12" w:rsidRDefault="00B25F12" w:rsidP="00B25F12">
      <w:pPr>
        <w:bidi w:val="0"/>
        <w:ind w:left="-360" w:right="-360"/>
      </w:pPr>
    </w:p>
    <w:p w:rsidR="00B25F12" w:rsidRDefault="00B25F12" w:rsidP="00B25F12">
      <w:pPr>
        <w:bidi w:val="0"/>
        <w:ind w:left="-360" w:right="-360"/>
      </w:pPr>
      <w:proofErr w:type="spellStart"/>
      <w:proofErr w:type="gramStart"/>
      <w:r w:rsidRPr="006B4490">
        <w:t>Misra</w:t>
      </w:r>
      <w:proofErr w:type="spellEnd"/>
      <w:r w:rsidRPr="006B4490">
        <w:t xml:space="preserve">, J., S. Moller, and M. J. </w:t>
      </w:r>
      <w:proofErr w:type="spellStart"/>
      <w:r w:rsidRPr="006B4490">
        <w:t>Budig</w:t>
      </w:r>
      <w:proofErr w:type="spellEnd"/>
      <w:r w:rsidRPr="006B4490">
        <w:t>.</w:t>
      </w:r>
      <w:proofErr w:type="gramEnd"/>
      <w:r w:rsidRPr="006B4490">
        <w:t xml:space="preserve"> 2007. “Work-Family Policies and Poverty for Partnered and Single Women in Europe and North America.” </w:t>
      </w:r>
      <w:r w:rsidRPr="006B4490">
        <w:rPr>
          <w:i/>
        </w:rPr>
        <w:t>Gender &amp; Society</w:t>
      </w:r>
      <w:r w:rsidRPr="006B4490">
        <w:t xml:space="preserve"> 21(6):804-27</w:t>
      </w:r>
      <w:r w:rsidRPr="006B4490">
        <w:rPr>
          <w:rtl/>
        </w:rPr>
        <w:t>.</w:t>
      </w:r>
    </w:p>
    <w:p w:rsidR="00B25F12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bidi w:val="0"/>
        <w:ind w:left="-360" w:right="-360"/>
        <w:rPr>
          <w:rtl/>
        </w:rPr>
      </w:pPr>
      <w:proofErr w:type="spellStart"/>
      <w:proofErr w:type="gramStart"/>
      <w:r w:rsidRPr="006B4490">
        <w:t>Misra</w:t>
      </w:r>
      <w:proofErr w:type="spellEnd"/>
      <w:r w:rsidRPr="006B4490">
        <w:t xml:space="preserve">, </w:t>
      </w:r>
      <w:proofErr w:type="spellStart"/>
      <w:r w:rsidRPr="006B4490">
        <w:t>Joya</w:t>
      </w:r>
      <w:proofErr w:type="spellEnd"/>
      <w:r w:rsidRPr="006B4490">
        <w:t xml:space="preserve">, Michelle J </w:t>
      </w:r>
      <w:proofErr w:type="spellStart"/>
      <w:r w:rsidRPr="006B4490">
        <w:t>Budig</w:t>
      </w:r>
      <w:proofErr w:type="spellEnd"/>
      <w:r w:rsidRPr="006B4490">
        <w:t>, and Stephanie Moller.</w:t>
      </w:r>
      <w:proofErr w:type="gramEnd"/>
      <w:r w:rsidRPr="006B4490">
        <w:t xml:space="preserve"> 2007. “Reconciliation Policies</w:t>
      </w:r>
      <w:r w:rsidRPr="006B4490">
        <w:rPr>
          <w:rtl/>
        </w:rPr>
        <w:t xml:space="preserve"> </w:t>
      </w:r>
      <w:r w:rsidRPr="006B4490">
        <w:t xml:space="preserve">and the Effects of Motherhood on Employment, Earnings and Poverty.” </w:t>
      </w:r>
      <w:r w:rsidRPr="006B4490">
        <w:rPr>
          <w:i/>
        </w:rPr>
        <w:t>Journal of Comparative Policy Analysis</w:t>
      </w:r>
      <w:r w:rsidRPr="006B4490">
        <w:t xml:space="preserve"> 9(2):135</w:t>
      </w:r>
    </w:p>
    <w:p w:rsidR="00B25F12" w:rsidRPr="006B4490" w:rsidRDefault="00B25F12" w:rsidP="00B25F12">
      <w:pPr>
        <w:bidi w:val="0"/>
        <w:ind w:left="-360" w:right="-360"/>
      </w:pPr>
    </w:p>
    <w:p w:rsidR="00B25F12" w:rsidRDefault="00B25F12" w:rsidP="00B25F12">
      <w:pPr>
        <w:bidi w:val="0"/>
        <w:ind w:left="-360" w:right="-360"/>
      </w:pPr>
      <w:proofErr w:type="spellStart"/>
      <w:r w:rsidRPr="006B4490">
        <w:t>Orloff</w:t>
      </w:r>
      <w:proofErr w:type="spellEnd"/>
      <w:r w:rsidRPr="006B4490">
        <w:t xml:space="preserve">, Ann Shola. 2002. Women's Employment and Welfare Regimes: Globalization, Export Orientation and Social Policy in Europe and </w:t>
      </w:r>
      <w:smartTag w:uri="urn:schemas-microsoft-com:office:smarttags" w:element="place">
        <w:r w:rsidRPr="006B4490">
          <w:t>North America</w:t>
        </w:r>
      </w:smartTag>
      <w:r w:rsidRPr="006B4490">
        <w:t xml:space="preserve">. </w:t>
      </w:r>
      <w:smartTag w:uri="urn:schemas-microsoft-com:office:smarttags" w:element="place">
        <w:smartTag w:uri="urn:schemas-microsoft-com:office:smarttags" w:element="City">
          <w:r w:rsidRPr="006B4490">
            <w:t>Geneva</w:t>
          </w:r>
        </w:smartTag>
      </w:smartTag>
      <w:r w:rsidRPr="006B4490">
        <w:t>: United Nations Research Institute for Social Development (UNRISD), Social Policy and Development, paper No. 12.</w:t>
      </w:r>
    </w:p>
    <w:p w:rsidR="00B25F12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bidi w:val="0"/>
        <w:ind w:left="-360" w:right="-360"/>
      </w:pPr>
      <w:proofErr w:type="spellStart"/>
      <w:r w:rsidRPr="006B4490">
        <w:t>Orloff</w:t>
      </w:r>
      <w:proofErr w:type="spellEnd"/>
      <w:r w:rsidRPr="006B4490">
        <w:t xml:space="preserve">, Ann Shola. 2006. “From </w:t>
      </w:r>
      <w:proofErr w:type="spellStart"/>
      <w:r w:rsidRPr="006B4490">
        <w:t>Maternalism</w:t>
      </w:r>
      <w:proofErr w:type="spellEnd"/>
      <w:r w:rsidRPr="006B4490">
        <w:t xml:space="preserve"> to "Employment for All": State Policies to Promote Women's Employment across the Affluent Democracies.” in The State after </w:t>
      </w:r>
      <w:proofErr w:type="spellStart"/>
      <w:r w:rsidRPr="006B4490">
        <w:t>Statism</w:t>
      </w:r>
      <w:proofErr w:type="spellEnd"/>
      <w:r w:rsidRPr="006B4490">
        <w:t>: New State Activities in the Age of Liberalization, edited by J. D. Levy. Cambridge, Mass.: Harvard University Press.</w:t>
      </w:r>
    </w:p>
    <w:p w:rsidR="00B25F12" w:rsidRPr="006B4490" w:rsidRDefault="00B25F12" w:rsidP="00B25F12">
      <w:pPr>
        <w:bidi w:val="0"/>
        <w:ind w:left="-360" w:right="-360"/>
        <w:jc w:val="both"/>
      </w:pPr>
    </w:p>
    <w:p w:rsidR="00B25F12" w:rsidRPr="006B4490" w:rsidRDefault="00B25F12" w:rsidP="00B25F12">
      <w:pPr>
        <w:bidi w:val="0"/>
        <w:ind w:left="-360" w:right="-360"/>
        <w:rPr>
          <w:b/>
          <w:bCs/>
        </w:rPr>
      </w:pPr>
      <w:r w:rsidRPr="006B4490">
        <w:t xml:space="preserve">Rosenfeld </w:t>
      </w:r>
      <w:proofErr w:type="gramStart"/>
      <w:r w:rsidRPr="006B4490">
        <w:t>R.A.,</w:t>
      </w:r>
      <w:proofErr w:type="gramEnd"/>
      <w:r w:rsidRPr="006B4490">
        <w:t xml:space="preserve"> and </w:t>
      </w:r>
      <w:proofErr w:type="spellStart"/>
      <w:r w:rsidRPr="006B4490">
        <w:t>Kalleberg</w:t>
      </w:r>
      <w:proofErr w:type="spellEnd"/>
      <w:r w:rsidRPr="006B4490">
        <w:t xml:space="preserve"> A.L., 1990, “A Cross-National Comparison of the Gender Gap in Income”. American Journal of Sociology, 96 (1): 69-106.  </w:t>
      </w:r>
    </w:p>
    <w:p w:rsidR="00B25F12" w:rsidRPr="006B4490" w:rsidRDefault="00B25F12" w:rsidP="00B25F12">
      <w:pPr>
        <w:bidi w:val="0"/>
        <w:ind w:left="-360" w:right="-360"/>
        <w:jc w:val="both"/>
      </w:pPr>
    </w:p>
    <w:p w:rsidR="00B25F12" w:rsidRPr="006B4490" w:rsidRDefault="00B25F12" w:rsidP="00B25F12">
      <w:pPr>
        <w:bidi w:val="0"/>
        <w:ind w:left="-360" w:right="-360"/>
        <w:jc w:val="both"/>
        <w:rPr>
          <w:rtl/>
        </w:rPr>
      </w:pPr>
      <w:proofErr w:type="gramStart"/>
      <w:r w:rsidRPr="006B4490">
        <w:t>Scruggs, L. and J. Allan.</w:t>
      </w:r>
      <w:proofErr w:type="gramEnd"/>
      <w:r w:rsidRPr="006B4490">
        <w:t xml:space="preserve"> 2006. “Welfare-State </w:t>
      </w:r>
      <w:proofErr w:type="spellStart"/>
      <w:r w:rsidRPr="006B4490">
        <w:t>Decommodification</w:t>
      </w:r>
      <w:proofErr w:type="spellEnd"/>
      <w:r w:rsidRPr="006B4490">
        <w:t xml:space="preserve"> in</w:t>
      </w:r>
      <w:r w:rsidRPr="006B4490">
        <w:rPr>
          <w:rtl/>
        </w:rPr>
        <w:t xml:space="preserve"> 18 </w:t>
      </w:r>
      <w:proofErr w:type="spellStart"/>
      <w:proofErr w:type="gramStart"/>
      <w:r w:rsidRPr="006B4490">
        <w:t>Oecd</w:t>
      </w:r>
      <w:proofErr w:type="spellEnd"/>
      <w:proofErr w:type="gramEnd"/>
      <w:r w:rsidRPr="006B4490">
        <w:t xml:space="preserve"> Countries: A Replication and Revision.” Journal of European Social Policy 16(1):55-72</w:t>
      </w:r>
      <w:r w:rsidRPr="006B4490">
        <w:rPr>
          <w:rtl/>
        </w:rPr>
        <w:t>.</w:t>
      </w:r>
    </w:p>
    <w:p w:rsidR="00B25F12" w:rsidRPr="006B4490" w:rsidRDefault="00B25F12" w:rsidP="00B25F12">
      <w:pPr>
        <w:bidi w:val="0"/>
        <w:ind w:left="-360" w:right="-360"/>
        <w:jc w:val="both"/>
      </w:pPr>
    </w:p>
    <w:p w:rsidR="00B25F12" w:rsidRPr="006B4490" w:rsidRDefault="00B25F12" w:rsidP="00B25F12">
      <w:pPr>
        <w:bidi w:val="0"/>
        <w:ind w:left="-360" w:right="-360"/>
        <w:jc w:val="both"/>
      </w:pPr>
      <w:proofErr w:type="gramStart"/>
      <w:r w:rsidRPr="006B4490">
        <w:t>Scruggs, L. and J. Allan.</w:t>
      </w:r>
      <w:proofErr w:type="gramEnd"/>
      <w:r w:rsidRPr="006B4490">
        <w:t xml:space="preserve"> </w:t>
      </w:r>
      <w:proofErr w:type="gramStart"/>
      <w:r w:rsidRPr="006B4490">
        <w:t>Unpublished yet.</w:t>
      </w:r>
      <w:proofErr w:type="gramEnd"/>
      <w:r w:rsidRPr="006B4490">
        <w:t xml:space="preserve"> Social Stratification and Welfare Regimes for the 21st Century: Revisiting the “Three Worlds of Welfare Capitalism”</w:t>
      </w:r>
    </w:p>
    <w:p w:rsidR="00B25F12" w:rsidRPr="006B4490" w:rsidRDefault="00B25F12" w:rsidP="00B25F12">
      <w:pPr>
        <w:bidi w:val="0"/>
        <w:ind w:left="-360" w:right="-360"/>
        <w:jc w:val="both"/>
      </w:pPr>
    </w:p>
    <w:p w:rsidR="00B25F12" w:rsidRDefault="00B25F12" w:rsidP="00B25F12">
      <w:pPr>
        <w:bidi w:val="0"/>
        <w:ind w:left="-360" w:right="-360"/>
        <w:jc w:val="both"/>
      </w:pPr>
      <w:r w:rsidRPr="006B4490">
        <w:t>Soskice David. 2005. “Varieties of Capitalism and Cross-National Gender Differences” Social Politics 12(2):170-179.</w:t>
      </w:r>
    </w:p>
    <w:p w:rsidR="00B25F12" w:rsidRDefault="00B25F12" w:rsidP="00B25F12">
      <w:pPr>
        <w:bidi w:val="0"/>
        <w:ind w:left="-360" w:right="-360"/>
        <w:jc w:val="both"/>
      </w:pPr>
    </w:p>
    <w:p w:rsidR="00B25F12" w:rsidRPr="006B4490" w:rsidRDefault="00B25F12" w:rsidP="00B25F12">
      <w:pPr>
        <w:bidi w:val="0"/>
        <w:ind w:left="-360" w:right="-360"/>
        <w:jc w:val="both"/>
      </w:pPr>
      <w:proofErr w:type="gramStart"/>
      <w:r w:rsidRPr="006B4490">
        <w:t>Stone Pamela.</w:t>
      </w:r>
      <w:proofErr w:type="gramEnd"/>
      <w:r w:rsidRPr="006B4490">
        <w:t xml:space="preserve"> 2007. “The Rhetoric and Reality of ''Opting Out''”. Contexts 6: 14-19.</w:t>
      </w:r>
    </w:p>
    <w:p w:rsidR="00B25F12" w:rsidRPr="006B4490" w:rsidRDefault="00B25F12" w:rsidP="00B25F12">
      <w:pPr>
        <w:bidi w:val="0"/>
        <w:ind w:left="-360" w:right="-360"/>
        <w:jc w:val="both"/>
      </w:pPr>
      <w:r w:rsidRPr="006B4490">
        <w:t>See also: Anne-Marie Slaughter in the Atlantic: "Women Still Can't Have It All." Can Anyone?</w:t>
      </w:r>
    </w:p>
    <w:p w:rsidR="00B25F12" w:rsidRPr="006B4490" w:rsidRDefault="00B25F12" w:rsidP="00B25F12">
      <w:pPr>
        <w:bidi w:val="0"/>
        <w:ind w:left="-360" w:right="-360"/>
        <w:jc w:val="both"/>
        <w:rPr>
          <w:rFonts w:ascii="Tahoma" w:hAnsi="Tahoma" w:cs="Tahoma"/>
          <w:sz w:val="20"/>
          <w:szCs w:val="20"/>
        </w:rPr>
      </w:pPr>
      <w:hyperlink r:id="rId6" w:history="1">
        <w:r w:rsidRPr="006B4490">
          <w:rPr>
            <w:rStyle w:val="Hyperlink"/>
            <w:rFonts w:ascii="Tahoma" w:hAnsi="Tahoma" w:cs="Tahoma"/>
            <w:sz w:val="20"/>
            <w:szCs w:val="20"/>
          </w:rPr>
          <w:t>http://bitchmagazine.org/post/anne-marie-slaughter-in-the-atlantic-feminist-magazine-women-work-life-balance-children-career</w:t>
        </w:r>
      </w:hyperlink>
      <w:r w:rsidRPr="006B4490">
        <w:rPr>
          <w:rFonts w:ascii="Tahoma" w:hAnsi="Tahoma" w:cs="Tahoma"/>
          <w:sz w:val="20"/>
          <w:szCs w:val="20"/>
        </w:rPr>
        <w:t xml:space="preserve">. </w:t>
      </w:r>
    </w:p>
    <w:p w:rsidR="00B25F12" w:rsidRPr="006B4490" w:rsidRDefault="00B25F12" w:rsidP="00B25F12">
      <w:pPr>
        <w:pStyle w:val="1"/>
        <w:shd w:val="clear" w:color="auto" w:fill="FFFFFF"/>
        <w:bidi w:val="0"/>
        <w:spacing w:before="13" w:after="113" w:line="376" w:lineRule="atLeast"/>
        <w:jc w:val="right"/>
        <w:rPr>
          <w:rFonts w:ascii="Times New Roman" w:hAnsi="Times New Roman"/>
          <w:b w:val="0"/>
          <w:bCs w:val="0"/>
          <w:kern w:val="0"/>
          <w:sz w:val="24"/>
          <w:szCs w:val="24"/>
          <w:rtl/>
        </w:rPr>
      </w:pPr>
      <w:r w:rsidRPr="006B4490">
        <w:rPr>
          <w:rFonts w:ascii="Times New Roman" w:hAnsi="Times New Roman" w:hint="cs"/>
          <w:b w:val="0"/>
          <w:bCs w:val="0"/>
          <w:kern w:val="0"/>
          <w:sz w:val="24"/>
          <w:szCs w:val="24"/>
          <w:rtl/>
        </w:rPr>
        <w:t>וגם: "</w:t>
      </w:r>
      <w:r w:rsidRPr="006B4490">
        <w:rPr>
          <w:rFonts w:ascii="Times New Roman" w:hAnsi="Times New Roman"/>
          <w:b w:val="0"/>
          <w:bCs w:val="0"/>
          <w:kern w:val="0"/>
          <w:sz w:val="24"/>
          <w:szCs w:val="24"/>
          <w:rtl/>
        </w:rPr>
        <w:t>הפתרון הפשוט לדילמת האיזון בין קריירה למשפחה</w:t>
      </w:r>
      <w:r w:rsidRPr="006B4490">
        <w:rPr>
          <w:rFonts w:ascii="Times New Roman" w:hAnsi="Times New Roman" w:hint="cs"/>
          <w:b w:val="0"/>
          <w:bCs w:val="0"/>
          <w:kern w:val="0"/>
          <w:sz w:val="24"/>
          <w:szCs w:val="24"/>
          <w:rtl/>
        </w:rPr>
        <w:t>", גלריה, הארץ, 2.7.2012.</w:t>
      </w:r>
    </w:p>
    <w:p w:rsidR="00B25F12" w:rsidRDefault="00B25F12" w:rsidP="00B25F12">
      <w:pPr>
        <w:bidi w:val="0"/>
        <w:rPr>
          <w:rFonts w:ascii="Tahoma" w:hAnsi="Tahoma" w:cs="Tahoma"/>
          <w:sz w:val="20"/>
          <w:szCs w:val="20"/>
        </w:rPr>
      </w:pPr>
      <w:hyperlink r:id="rId7" w:history="1">
        <w:r w:rsidRPr="006B4490">
          <w:rPr>
            <w:rStyle w:val="Hyperlink"/>
            <w:rFonts w:ascii="Tahoma" w:hAnsi="Tahoma" w:cs="Tahoma"/>
            <w:sz w:val="20"/>
            <w:szCs w:val="20"/>
          </w:rPr>
          <w:t>http://www.haaretz.co.il/gallery/mejunderet/1.1746008</w:t>
        </w:r>
      </w:hyperlink>
    </w:p>
    <w:p w:rsidR="00B25F12" w:rsidRDefault="00B25F12" w:rsidP="00B25F12">
      <w:pPr>
        <w:bidi w:val="0"/>
        <w:rPr>
          <w:rFonts w:ascii="Tahoma" w:hAnsi="Tahoma" w:cs="Tahoma"/>
          <w:sz w:val="20"/>
          <w:szCs w:val="20"/>
        </w:rPr>
      </w:pPr>
    </w:p>
    <w:p w:rsidR="00B25F12" w:rsidRPr="005440DC" w:rsidRDefault="00B25F12" w:rsidP="00B25F12">
      <w:pPr>
        <w:bidi w:val="0"/>
        <w:ind w:left="-284"/>
        <w:rPr>
          <w:rFonts w:ascii="Tahoma" w:hAnsi="Tahoma" w:cs="Tahoma"/>
          <w:sz w:val="20"/>
          <w:szCs w:val="20"/>
        </w:rPr>
      </w:pPr>
      <w:r w:rsidRPr="008F76D4">
        <w:t xml:space="preserve">Valerie M. Hudson, Donna Lee Bowen, Perpetua Lynne Nielsen. 2011. What Is the Relationship between Inequity in Family Law and Violence against Women? </w:t>
      </w:r>
      <w:proofErr w:type="gramStart"/>
      <w:r w:rsidRPr="008F76D4">
        <w:t>Approaching the Issue of Legal Enclaves.</w:t>
      </w:r>
      <w:proofErr w:type="gramEnd"/>
      <w:r w:rsidRPr="008F76D4">
        <w:t xml:space="preserve"> Politics &amp; Gender, 7 (2011), 453–492.</w:t>
      </w:r>
    </w:p>
    <w:p w:rsidR="00B25F12" w:rsidRDefault="00B25F12" w:rsidP="00B25F12">
      <w:pPr>
        <w:bidi w:val="0"/>
        <w:ind w:left="-284" w:right="-360"/>
        <w:jc w:val="both"/>
      </w:pPr>
    </w:p>
    <w:p w:rsidR="00B25F12" w:rsidRDefault="00B25F12" w:rsidP="00B25F12">
      <w:pPr>
        <w:bidi w:val="0"/>
        <w:ind w:left="-284" w:right="-360"/>
        <w:jc w:val="both"/>
      </w:pPr>
      <w:proofErr w:type="gramStart"/>
      <w:r w:rsidRPr="006B4490">
        <w:t xml:space="preserve">Williams, Joan C and Heather </w:t>
      </w:r>
      <w:proofErr w:type="spellStart"/>
      <w:r w:rsidRPr="006B4490">
        <w:t>Boushey</w:t>
      </w:r>
      <w:proofErr w:type="spellEnd"/>
      <w:r w:rsidRPr="006B4490">
        <w:t>.</w:t>
      </w:r>
      <w:proofErr w:type="gramEnd"/>
      <w:r w:rsidRPr="006B4490">
        <w:t xml:space="preserve"> 2010. “The Three Faces of Work-Family Conflict: The Poor, the Professionals, and the Missing Middle.” </w:t>
      </w:r>
      <w:proofErr w:type="gramStart"/>
      <w:r w:rsidRPr="006B4490">
        <w:t>Center for American Progress.</w:t>
      </w:r>
      <w:proofErr w:type="gramEnd"/>
    </w:p>
    <w:p w:rsidR="00B25F12" w:rsidRDefault="00B25F12" w:rsidP="00B25F12">
      <w:pPr>
        <w:autoSpaceDE w:val="0"/>
        <w:autoSpaceDN w:val="0"/>
        <w:bidi w:val="0"/>
        <w:adjustRightInd w:val="0"/>
        <w:ind w:left="-284"/>
        <w:rPr>
          <w:rtl/>
        </w:rPr>
      </w:pPr>
    </w:p>
    <w:p w:rsidR="00B25F12" w:rsidRDefault="00B25F12" w:rsidP="00B25F12">
      <w:pPr>
        <w:bidi w:val="0"/>
        <w:ind w:left="-360" w:right="-360"/>
        <w:rPr>
          <w:b/>
          <w:bCs/>
          <w:u w:val="single"/>
        </w:rPr>
      </w:pPr>
    </w:p>
    <w:p w:rsidR="00B25F12" w:rsidRPr="006B4490" w:rsidRDefault="00B25F12" w:rsidP="00B25F12">
      <w:pPr>
        <w:bidi w:val="0"/>
        <w:ind w:left="-360" w:right="-360"/>
        <w:rPr>
          <w:b/>
          <w:bCs/>
          <w:u w:val="single"/>
        </w:rPr>
      </w:pPr>
      <w:r w:rsidRPr="006B4490">
        <w:rPr>
          <w:b/>
          <w:bCs/>
          <w:u w:val="single"/>
        </w:rPr>
        <w:t>Books</w:t>
      </w:r>
    </w:p>
    <w:p w:rsidR="00B25F12" w:rsidRPr="006B4490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bidi w:val="0"/>
        <w:ind w:left="-360" w:right="-360"/>
      </w:pPr>
      <w:proofErr w:type="spellStart"/>
      <w:proofErr w:type="gramStart"/>
      <w:r w:rsidRPr="006B4490">
        <w:t>Boje</w:t>
      </w:r>
      <w:proofErr w:type="spellEnd"/>
      <w:r w:rsidRPr="006B4490">
        <w:t xml:space="preserve">, Thomas P. and </w:t>
      </w:r>
      <w:proofErr w:type="spellStart"/>
      <w:r w:rsidRPr="006B4490">
        <w:t>Arnlaug</w:t>
      </w:r>
      <w:proofErr w:type="spellEnd"/>
      <w:r w:rsidRPr="006B4490">
        <w:t xml:space="preserve"> </w:t>
      </w:r>
      <w:proofErr w:type="spellStart"/>
      <w:r w:rsidRPr="006B4490">
        <w:t>Leira</w:t>
      </w:r>
      <w:proofErr w:type="spellEnd"/>
      <w:r w:rsidRPr="006B4490">
        <w:t>.</w:t>
      </w:r>
      <w:proofErr w:type="gramEnd"/>
      <w:r w:rsidRPr="006B4490">
        <w:t xml:space="preserve"> 2000. Gender, Welfare State, and the Market: Towards a New Division of </w:t>
      </w:r>
      <w:proofErr w:type="spellStart"/>
      <w:r w:rsidRPr="006B4490">
        <w:t>Labour</w:t>
      </w:r>
      <w:proofErr w:type="spellEnd"/>
      <w:r w:rsidRPr="006B4490">
        <w:t xml:space="preserve">. </w:t>
      </w:r>
      <w:proofErr w:type="gramStart"/>
      <w:r w:rsidRPr="006B4490">
        <w:t>London ;</w:t>
      </w:r>
      <w:proofErr w:type="gramEnd"/>
      <w:r w:rsidRPr="006B4490">
        <w:t xml:space="preserve"> </w:t>
      </w:r>
      <w:smartTag w:uri="urn:schemas-microsoft-com:office:smarttags" w:element="place">
        <w:smartTag w:uri="urn:schemas-microsoft-com:office:smarttags" w:element="State">
          <w:r w:rsidRPr="006B4490">
            <w:t>New York</w:t>
          </w:r>
        </w:smartTag>
      </w:smartTag>
      <w:r w:rsidRPr="006B4490">
        <w:t>: Routledge.</w:t>
      </w:r>
    </w:p>
    <w:p w:rsidR="00B25F12" w:rsidRPr="006B4490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autoSpaceDE w:val="0"/>
        <w:autoSpaceDN w:val="0"/>
        <w:adjustRightInd w:val="0"/>
        <w:ind w:right="-360"/>
        <w:jc w:val="right"/>
        <w:rPr>
          <w:sz w:val="23"/>
          <w:szCs w:val="23"/>
          <w:lang w:val="en-GB"/>
        </w:rPr>
      </w:pPr>
      <w:proofErr w:type="gramStart"/>
      <w:r w:rsidRPr="006B4490">
        <w:rPr>
          <w:sz w:val="23"/>
          <w:szCs w:val="23"/>
          <w:lang w:val="en-GB"/>
        </w:rPr>
        <w:t xml:space="preserve">Charles, M. and </w:t>
      </w:r>
      <w:proofErr w:type="spellStart"/>
      <w:r w:rsidRPr="006B4490">
        <w:rPr>
          <w:sz w:val="23"/>
          <w:szCs w:val="23"/>
          <w:lang w:val="en-GB"/>
        </w:rPr>
        <w:t>Grusky</w:t>
      </w:r>
      <w:proofErr w:type="spellEnd"/>
      <w:r w:rsidRPr="006B4490">
        <w:rPr>
          <w:sz w:val="23"/>
          <w:szCs w:val="23"/>
          <w:lang w:val="en-GB"/>
        </w:rPr>
        <w:t>, D. B. 2004.</w:t>
      </w:r>
      <w:proofErr w:type="gramEnd"/>
      <w:r w:rsidRPr="006B4490">
        <w:rPr>
          <w:sz w:val="23"/>
          <w:szCs w:val="23"/>
          <w:lang w:val="en-GB"/>
        </w:rPr>
        <w:t xml:space="preserve"> </w:t>
      </w:r>
      <w:r w:rsidRPr="006B4490">
        <w:rPr>
          <w:i/>
          <w:iCs/>
          <w:sz w:val="23"/>
          <w:szCs w:val="23"/>
          <w:lang w:val="en-GB"/>
        </w:rPr>
        <w:t>Occupational ghettos: the worldwide segregation of women and men</w:t>
      </w:r>
      <w:r w:rsidRPr="006B4490">
        <w:rPr>
          <w:sz w:val="23"/>
          <w:szCs w:val="23"/>
          <w:lang w:val="en-GB"/>
        </w:rPr>
        <w:t xml:space="preserve">, Stanford. </w:t>
      </w:r>
      <w:smartTag w:uri="urn:schemas-microsoft-com:office:smarttags" w:element="State">
        <w:r w:rsidRPr="006B4490">
          <w:rPr>
            <w:sz w:val="23"/>
            <w:szCs w:val="23"/>
            <w:lang w:val="en-GB"/>
          </w:rPr>
          <w:t>California</w:t>
        </w:r>
      </w:smartTag>
      <w:r w:rsidRPr="006B4490">
        <w:rPr>
          <w:sz w:val="23"/>
          <w:szCs w:val="23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6B4490">
            <w:rPr>
              <w:sz w:val="23"/>
              <w:szCs w:val="23"/>
              <w:lang w:val="en-GB"/>
            </w:rPr>
            <w:t>Stanford</w:t>
          </w:r>
        </w:smartTag>
        <w:r w:rsidRPr="006B4490">
          <w:rPr>
            <w:sz w:val="23"/>
            <w:szCs w:val="23"/>
            <w:lang w:val="en-GB"/>
          </w:rPr>
          <w:t xml:space="preserve"> </w:t>
        </w:r>
        <w:smartTag w:uri="urn:schemas-microsoft-com:office:smarttags" w:element="PlaceType">
          <w:r w:rsidRPr="006B4490">
            <w:rPr>
              <w:sz w:val="23"/>
              <w:szCs w:val="23"/>
              <w:lang w:val="en-GB"/>
            </w:rPr>
            <w:t>University</w:t>
          </w:r>
        </w:smartTag>
      </w:smartTag>
      <w:r w:rsidRPr="006B4490">
        <w:rPr>
          <w:sz w:val="23"/>
          <w:szCs w:val="23"/>
          <w:lang w:val="en-GB"/>
        </w:rPr>
        <w:t xml:space="preserve"> Press.</w:t>
      </w:r>
    </w:p>
    <w:p w:rsidR="00B25F12" w:rsidRPr="006B4490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autoSpaceDE w:val="0"/>
        <w:autoSpaceDN w:val="0"/>
        <w:bidi w:val="0"/>
        <w:adjustRightInd w:val="0"/>
        <w:ind w:left="-426"/>
      </w:pPr>
      <w:r w:rsidRPr="006B4490">
        <w:t xml:space="preserve">Cooke, Lynn P. 2011. </w:t>
      </w:r>
      <w:proofErr w:type="gramStart"/>
      <w:r w:rsidRPr="006B4490">
        <w:t>Gender-class equality in political economies.</w:t>
      </w:r>
      <w:proofErr w:type="gramEnd"/>
      <w:r w:rsidRPr="006B4490">
        <w:t xml:space="preserve"> New York, NY: Routledge.</w:t>
      </w:r>
    </w:p>
    <w:p w:rsidR="00B25F12" w:rsidRPr="006B4490" w:rsidRDefault="00B25F12" w:rsidP="00B25F12">
      <w:pPr>
        <w:bidi w:val="0"/>
        <w:ind w:left="-426" w:right="-360"/>
      </w:pPr>
      <w:r w:rsidRPr="006B4490">
        <w:t xml:space="preserve"> </w:t>
      </w:r>
    </w:p>
    <w:p w:rsidR="00B25F12" w:rsidRPr="006B4490" w:rsidRDefault="00B25F12" w:rsidP="00B25F12">
      <w:pPr>
        <w:bidi w:val="0"/>
        <w:ind w:left="-426" w:right="-360"/>
      </w:pPr>
      <w:proofErr w:type="spellStart"/>
      <w:proofErr w:type="gramStart"/>
      <w:r w:rsidRPr="006B4490">
        <w:t>Esping</w:t>
      </w:r>
      <w:proofErr w:type="spellEnd"/>
      <w:r w:rsidRPr="006B4490">
        <w:t xml:space="preserve">-Andersen, </w:t>
      </w:r>
      <w:proofErr w:type="spellStart"/>
      <w:r w:rsidRPr="006B4490">
        <w:t>Gosta</w:t>
      </w:r>
      <w:proofErr w:type="spellEnd"/>
      <w:r w:rsidRPr="006B4490">
        <w:t>.</w:t>
      </w:r>
      <w:proofErr w:type="gramEnd"/>
      <w:r w:rsidRPr="006B4490">
        <w:t xml:space="preserve"> 1990. The Three Worlds of Welfare Capitalism. </w:t>
      </w:r>
      <w:smartTag w:uri="urn:schemas-microsoft-com:office:smarttags" w:element="place">
        <w:smartTag w:uri="urn:schemas-microsoft-com:office:smarttags" w:element="City">
          <w:r w:rsidRPr="006B4490">
            <w:t>Cambridge</w:t>
          </w:r>
        </w:smartTag>
      </w:smartTag>
      <w:r w:rsidRPr="006B4490">
        <w:t>: Polity Press.</w:t>
      </w:r>
    </w:p>
    <w:p w:rsidR="00B25F12" w:rsidRPr="006B4490" w:rsidRDefault="00B25F12" w:rsidP="00B25F12">
      <w:pPr>
        <w:autoSpaceDE w:val="0"/>
        <w:autoSpaceDN w:val="0"/>
        <w:bidi w:val="0"/>
        <w:adjustRightInd w:val="0"/>
        <w:rPr>
          <w:rFonts w:ascii="Arial" w:hAnsi="Arial" w:cs="Arial"/>
        </w:rPr>
      </w:pPr>
    </w:p>
    <w:p w:rsidR="00B25F12" w:rsidRPr="006B4490" w:rsidRDefault="00B25F12" w:rsidP="00B25F12">
      <w:pPr>
        <w:bidi w:val="0"/>
        <w:ind w:left="-360" w:right="-360"/>
      </w:pPr>
      <w:proofErr w:type="spellStart"/>
      <w:r w:rsidRPr="006B4490">
        <w:t>Esping-Andersen</w:t>
      </w:r>
      <w:proofErr w:type="gramStart"/>
      <w:r w:rsidRPr="006B4490">
        <w:t>,Gosta</w:t>
      </w:r>
      <w:proofErr w:type="spellEnd"/>
      <w:proofErr w:type="gramEnd"/>
      <w:r w:rsidRPr="006B4490">
        <w:t xml:space="preserve">. 1999. Social Foundations of Postindustrial Economies. </w:t>
      </w:r>
      <w:smartTag w:uri="urn:schemas-microsoft-com:office:smarttags" w:element="City">
        <w:r w:rsidRPr="006B4490">
          <w:t>Oxford</w:t>
        </w:r>
      </w:smartTag>
      <w:r w:rsidRPr="006B4490">
        <w:t xml:space="preserve">: </w:t>
      </w:r>
      <w:smartTag w:uri="urn:schemas-microsoft-com:office:smarttags" w:element="place">
        <w:smartTag w:uri="urn:schemas-microsoft-com:office:smarttags" w:element="PlaceName">
          <w:r w:rsidRPr="006B4490">
            <w:t>Oxford</w:t>
          </w:r>
        </w:smartTag>
        <w:r w:rsidRPr="006B4490">
          <w:t xml:space="preserve"> </w:t>
        </w:r>
        <w:smartTag w:uri="urn:schemas-microsoft-com:office:smarttags" w:element="PlaceType">
          <w:r w:rsidRPr="006B4490">
            <w:t>University</w:t>
          </w:r>
        </w:smartTag>
      </w:smartTag>
      <w:r w:rsidRPr="006B4490">
        <w:t xml:space="preserve"> Press.</w:t>
      </w:r>
    </w:p>
    <w:p w:rsidR="00B25F12" w:rsidRPr="006B4490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bidi w:val="0"/>
        <w:ind w:left="-360" w:right="-360"/>
        <w:jc w:val="both"/>
        <w:rPr>
          <w:rFonts w:cs="David"/>
          <w:szCs w:val="26"/>
          <w:rtl/>
        </w:rPr>
      </w:pPr>
      <w:proofErr w:type="spellStart"/>
      <w:proofErr w:type="gramStart"/>
      <w:r w:rsidRPr="006B4490">
        <w:rPr>
          <w:sz w:val="23"/>
          <w:szCs w:val="23"/>
          <w:lang w:val="en-GB"/>
        </w:rPr>
        <w:t>Gornick</w:t>
      </w:r>
      <w:proofErr w:type="spellEnd"/>
      <w:r w:rsidRPr="006B4490">
        <w:rPr>
          <w:sz w:val="23"/>
          <w:szCs w:val="23"/>
          <w:lang w:val="en-GB"/>
        </w:rPr>
        <w:t>, Janet C. and Marcia Meyers.</w:t>
      </w:r>
      <w:proofErr w:type="gramEnd"/>
      <w:r w:rsidRPr="006B4490">
        <w:rPr>
          <w:sz w:val="23"/>
          <w:szCs w:val="23"/>
          <w:lang w:val="en-GB"/>
        </w:rPr>
        <w:t xml:space="preserve"> 2003. Families That Work: Policies for Reconciling Parenthood and Employment. </w:t>
      </w:r>
      <w:smartTag w:uri="urn:schemas-microsoft-com:office:smarttags" w:element="place">
        <w:smartTag w:uri="urn:schemas-microsoft-com:office:smarttags" w:element="State">
          <w:r w:rsidRPr="006B4490">
            <w:rPr>
              <w:sz w:val="23"/>
              <w:szCs w:val="23"/>
              <w:lang w:val="en-GB"/>
            </w:rPr>
            <w:t>New York</w:t>
          </w:r>
        </w:smartTag>
      </w:smartTag>
      <w:r w:rsidRPr="006B4490">
        <w:rPr>
          <w:sz w:val="23"/>
          <w:szCs w:val="23"/>
          <w:lang w:val="en-GB"/>
        </w:rPr>
        <w:t>: Russell Sage Foundation.</w:t>
      </w:r>
    </w:p>
    <w:p w:rsidR="00B25F12" w:rsidRPr="006B4490" w:rsidRDefault="00B25F12" w:rsidP="00B25F12">
      <w:pPr>
        <w:autoSpaceDE w:val="0"/>
        <w:autoSpaceDN w:val="0"/>
        <w:bidi w:val="0"/>
        <w:adjustRightInd w:val="0"/>
        <w:ind w:left="-360"/>
      </w:pPr>
    </w:p>
    <w:p w:rsidR="00B25F12" w:rsidRPr="006B4490" w:rsidRDefault="00B25F12" w:rsidP="00B25F12">
      <w:pPr>
        <w:autoSpaceDE w:val="0"/>
        <w:autoSpaceDN w:val="0"/>
        <w:bidi w:val="0"/>
        <w:adjustRightInd w:val="0"/>
        <w:ind w:left="-360"/>
      </w:pPr>
      <w:proofErr w:type="spellStart"/>
      <w:proofErr w:type="gramStart"/>
      <w:r w:rsidRPr="006B4490">
        <w:t>Gornick</w:t>
      </w:r>
      <w:proofErr w:type="spellEnd"/>
      <w:r w:rsidRPr="006B4490">
        <w:t>, Janet C. and Marcia Meyers.</w:t>
      </w:r>
      <w:proofErr w:type="gramEnd"/>
      <w:r w:rsidRPr="006B4490">
        <w:t xml:space="preserve"> 2009. Gender Equality: Transformation Family Divisions of Labor. </w:t>
      </w:r>
      <w:smartTag w:uri="urn:schemas-microsoft-com:office:smarttags" w:element="City">
        <w:r w:rsidRPr="006B4490">
          <w:t>London</w:t>
        </w:r>
      </w:smartTag>
      <w:r w:rsidRPr="006B4490">
        <w:t>-</w:t>
      </w:r>
      <w:smartTag w:uri="urn:schemas-microsoft-com:office:smarttags" w:element="State">
        <w:smartTag w:uri="urn:schemas-microsoft-com:office:smarttags" w:element="place">
          <w:r w:rsidRPr="006B4490">
            <w:t>New York</w:t>
          </w:r>
        </w:smartTag>
      </w:smartTag>
      <w:r w:rsidRPr="006B4490">
        <w:t>: Verso.</w:t>
      </w:r>
    </w:p>
    <w:p w:rsidR="00B25F12" w:rsidRPr="006B4490" w:rsidRDefault="00B25F12" w:rsidP="00B25F12">
      <w:pPr>
        <w:autoSpaceDE w:val="0"/>
        <w:autoSpaceDN w:val="0"/>
        <w:bidi w:val="0"/>
        <w:adjustRightInd w:val="0"/>
        <w:ind w:left="-360"/>
      </w:pPr>
    </w:p>
    <w:p w:rsidR="00B25F12" w:rsidRPr="006B4490" w:rsidRDefault="00B25F12" w:rsidP="00B25F12">
      <w:pPr>
        <w:bidi w:val="0"/>
        <w:ind w:left="-360" w:right="-360"/>
      </w:pPr>
      <w:proofErr w:type="spellStart"/>
      <w:r w:rsidRPr="006B4490">
        <w:t>Hernes</w:t>
      </w:r>
      <w:proofErr w:type="spellEnd"/>
      <w:r w:rsidRPr="006B4490">
        <w:t xml:space="preserve">, Helga Maria. 1987. Welfare State and Woman Power: Essays in State Feminism. </w:t>
      </w:r>
      <w:smartTag w:uri="urn:schemas-microsoft-com:office:smarttags" w:element="City">
        <w:r w:rsidRPr="006B4490">
          <w:t>Oslo</w:t>
        </w:r>
      </w:smartTag>
      <w:r w:rsidRPr="006B4490">
        <w:t xml:space="preserve">: </w:t>
      </w:r>
      <w:smartTag w:uri="urn:schemas-microsoft-com:office:smarttags" w:element="place">
        <w:smartTag w:uri="urn:schemas-microsoft-com:office:smarttags" w:element="PlaceName">
          <w:r w:rsidRPr="006B4490">
            <w:t>Norwegian</w:t>
          </w:r>
        </w:smartTag>
        <w:r w:rsidRPr="006B4490">
          <w:t xml:space="preserve"> </w:t>
        </w:r>
        <w:smartTag w:uri="urn:schemas-microsoft-com:office:smarttags" w:element="PlaceType">
          <w:r w:rsidRPr="006B4490">
            <w:t>University</w:t>
          </w:r>
        </w:smartTag>
      </w:smartTag>
      <w:r w:rsidRPr="006B4490">
        <w:t xml:space="preserve"> Press.</w:t>
      </w:r>
    </w:p>
    <w:p w:rsidR="00B25F12" w:rsidRPr="006B4490" w:rsidRDefault="00B25F12" w:rsidP="00B25F12">
      <w:pPr>
        <w:bidi w:val="0"/>
        <w:ind w:left="-360" w:right="-360"/>
      </w:pPr>
    </w:p>
    <w:p w:rsidR="00B25F12" w:rsidRPr="006B4490" w:rsidRDefault="00B25F12" w:rsidP="00B25F12">
      <w:pPr>
        <w:bidi w:val="0"/>
        <w:ind w:left="-360" w:right="-360"/>
      </w:pPr>
      <w:r w:rsidRPr="006B4490">
        <w:t xml:space="preserve">O'Connor, Julia S. 1996. </w:t>
      </w:r>
      <w:proofErr w:type="gramStart"/>
      <w:r w:rsidRPr="006B4490">
        <w:t>“From Women in the Welfare State to Gendering Welfare State Regimes.”</w:t>
      </w:r>
      <w:proofErr w:type="gramEnd"/>
      <w:r w:rsidRPr="006B4490">
        <w:t xml:space="preserve"> Current Sociology/La </w:t>
      </w:r>
      <w:proofErr w:type="spellStart"/>
      <w:r w:rsidRPr="006B4490">
        <w:t>Sociologie</w:t>
      </w:r>
      <w:proofErr w:type="spellEnd"/>
      <w:r w:rsidRPr="006B4490">
        <w:t xml:space="preserve"> </w:t>
      </w:r>
      <w:proofErr w:type="spellStart"/>
      <w:r w:rsidRPr="006B4490">
        <w:t>Contemporaine</w:t>
      </w:r>
      <w:proofErr w:type="spellEnd"/>
      <w:r w:rsidRPr="006B4490">
        <w:t xml:space="preserve"> 44(2):1-124.</w:t>
      </w:r>
    </w:p>
    <w:p w:rsidR="00B25F12" w:rsidRPr="006B4490" w:rsidRDefault="00B25F12" w:rsidP="00B25F12">
      <w:pPr>
        <w:autoSpaceDE w:val="0"/>
        <w:autoSpaceDN w:val="0"/>
        <w:bidi w:val="0"/>
        <w:adjustRightInd w:val="0"/>
        <w:ind w:left="-360" w:right="-360"/>
        <w:rPr>
          <w:rFonts w:ascii="Arial" w:hAnsi="Arial" w:cs="Arial"/>
        </w:rPr>
      </w:pPr>
    </w:p>
    <w:p w:rsidR="00B25F12" w:rsidRPr="006B4490" w:rsidRDefault="00B25F12" w:rsidP="00B25F12">
      <w:pPr>
        <w:bidi w:val="0"/>
        <w:ind w:left="-360" w:right="-360"/>
      </w:pPr>
      <w:r w:rsidRPr="006B4490">
        <w:t xml:space="preserve">Sainsbury, Diane. 1996. Gender, Equality, and Welfare States. </w:t>
      </w:r>
      <w:smartTag w:uri="urn:schemas-microsoft-com:office:smarttags" w:element="City">
        <w:r w:rsidRPr="006B4490">
          <w:t>Cambridge</w:t>
        </w:r>
      </w:smartTag>
      <w:r w:rsidRPr="006B4490">
        <w:t xml:space="preserve">: </w:t>
      </w:r>
      <w:smartTag w:uri="urn:schemas-microsoft-com:office:smarttags" w:element="place">
        <w:smartTag w:uri="urn:schemas-microsoft-com:office:smarttags" w:element="PlaceName">
          <w:r w:rsidRPr="006B4490">
            <w:t>Cambridge</w:t>
          </w:r>
        </w:smartTag>
        <w:r w:rsidRPr="006B4490">
          <w:t xml:space="preserve"> </w:t>
        </w:r>
        <w:smartTag w:uri="urn:schemas-microsoft-com:office:smarttags" w:element="PlaceType">
          <w:r w:rsidRPr="006B4490">
            <w:t>University</w:t>
          </w:r>
        </w:smartTag>
      </w:smartTag>
      <w:r w:rsidRPr="006B4490">
        <w:t xml:space="preserve"> Press.</w:t>
      </w:r>
    </w:p>
    <w:p w:rsidR="00B25F12" w:rsidRPr="006B4490" w:rsidRDefault="00B25F12" w:rsidP="00B25F12">
      <w:pPr>
        <w:autoSpaceDE w:val="0"/>
        <w:autoSpaceDN w:val="0"/>
        <w:bidi w:val="0"/>
        <w:adjustRightInd w:val="0"/>
        <w:ind w:left="-360" w:right="-360"/>
        <w:rPr>
          <w:rFonts w:ascii="Arial" w:hAnsi="Arial" w:cs="Arial"/>
        </w:rPr>
      </w:pPr>
    </w:p>
    <w:p w:rsidR="00B25F12" w:rsidRDefault="00B25F12" w:rsidP="00B25F12">
      <w:pPr>
        <w:bidi w:val="0"/>
        <w:ind w:left="-360" w:right="-360"/>
      </w:pPr>
      <w:r w:rsidRPr="006B4490">
        <w:t xml:space="preserve">Sainsbury, Diane, ed. 1999. </w:t>
      </w:r>
      <w:proofErr w:type="gramStart"/>
      <w:r w:rsidRPr="006B4490">
        <w:t>Gender and Welfare State Regimes.</w:t>
      </w:r>
      <w:proofErr w:type="gramEnd"/>
      <w:r w:rsidRPr="006B4490">
        <w:t xml:space="preserve"> </w:t>
      </w:r>
      <w:proofErr w:type="gramStart"/>
      <w:r w:rsidRPr="006B4490">
        <w:t>Oxford ;</w:t>
      </w:r>
      <w:proofErr w:type="gramEnd"/>
      <w:r w:rsidRPr="006B4490">
        <w:t xml:space="preserve"> </w:t>
      </w:r>
      <w:smartTag w:uri="urn:schemas-microsoft-com:office:smarttags" w:element="State">
        <w:r w:rsidRPr="006B4490">
          <w:t>New York</w:t>
        </w:r>
      </w:smartTag>
      <w:r w:rsidRPr="006B4490">
        <w:t xml:space="preserve">: </w:t>
      </w:r>
      <w:smartTag w:uri="urn:schemas-microsoft-com:office:smarttags" w:element="place">
        <w:smartTag w:uri="urn:schemas-microsoft-com:office:smarttags" w:element="PlaceName">
          <w:r w:rsidRPr="006B4490">
            <w:t>Oxford</w:t>
          </w:r>
        </w:smartTag>
        <w:r w:rsidRPr="006B4490">
          <w:t xml:space="preserve"> </w:t>
        </w:r>
        <w:smartTag w:uri="urn:schemas-microsoft-com:office:smarttags" w:element="PlaceType">
          <w:r w:rsidRPr="006B4490">
            <w:t>University</w:t>
          </w:r>
        </w:smartTag>
      </w:smartTag>
      <w:r w:rsidRPr="006B4490">
        <w:t xml:space="preserve"> Press.</w:t>
      </w:r>
      <w:r w:rsidRPr="00440A34">
        <w:t xml:space="preserve"> </w:t>
      </w:r>
    </w:p>
    <w:p w:rsidR="00B25F12" w:rsidRPr="00440A34" w:rsidRDefault="00B25F12" w:rsidP="00B25F12">
      <w:pPr>
        <w:bidi w:val="0"/>
        <w:ind w:left="-360" w:right="-360"/>
      </w:pPr>
    </w:p>
    <w:p w:rsidR="00B25F12" w:rsidRPr="00440A34" w:rsidRDefault="00B25F12" w:rsidP="00B25F12">
      <w:pPr>
        <w:bidi w:val="0"/>
        <w:ind w:left="-360" w:right="-360"/>
      </w:pPr>
    </w:p>
    <w:p w:rsidR="00275563" w:rsidRPr="00B25F12" w:rsidRDefault="00275563"/>
    <w:sectPr w:rsidR="00275563" w:rsidRPr="00B25F12" w:rsidSect="00352ADC">
      <w:pgSz w:w="12240" w:h="15840"/>
      <w:pgMar w:top="1440" w:right="1797" w:bottom="141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Te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F2514"/>
    <w:multiLevelType w:val="hybridMultilevel"/>
    <w:tmpl w:val="EF8EADB0"/>
    <w:lvl w:ilvl="0" w:tplc="FBFCB47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E350BDC"/>
    <w:multiLevelType w:val="hybridMultilevel"/>
    <w:tmpl w:val="DA301724"/>
    <w:lvl w:ilvl="0" w:tplc="C79C394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12"/>
    <w:rsid w:val="00275563"/>
    <w:rsid w:val="00524A61"/>
    <w:rsid w:val="007E6EE4"/>
    <w:rsid w:val="00B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5F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5F12"/>
    <w:pPr>
      <w:keepNext/>
      <w:outlineLvl w:val="3"/>
    </w:pPr>
    <w:rPr>
      <w:rFonts w:cs="David"/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25F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כותרת 4 תו"/>
    <w:basedOn w:val="a0"/>
    <w:link w:val="4"/>
    <w:rsid w:val="00B25F12"/>
    <w:rPr>
      <w:rFonts w:ascii="Times New Roman" w:eastAsia="Times New Roman" w:hAnsi="Times New Roman" w:cs="David"/>
      <w:b/>
      <w:bCs/>
      <w:sz w:val="20"/>
      <w:szCs w:val="24"/>
      <w:u w:val="single"/>
    </w:rPr>
  </w:style>
  <w:style w:type="character" w:styleId="Hyperlink">
    <w:name w:val="Hyperlink"/>
    <w:uiPriority w:val="99"/>
    <w:unhideWhenUsed/>
    <w:rsid w:val="00B25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5F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5F12"/>
    <w:pPr>
      <w:keepNext/>
      <w:outlineLvl w:val="3"/>
    </w:pPr>
    <w:rPr>
      <w:rFonts w:cs="David"/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25F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כותרת 4 תו"/>
    <w:basedOn w:val="a0"/>
    <w:link w:val="4"/>
    <w:rsid w:val="00B25F12"/>
    <w:rPr>
      <w:rFonts w:ascii="Times New Roman" w:eastAsia="Times New Roman" w:hAnsi="Times New Roman" w:cs="David"/>
      <w:b/>
      <w:bCs/>
      <w:sz w:val="20"/>
      <w:szCs w:val="24"/>
      <w:u w:val="single"/>
    </w:rPr>
  </w:style>
  <w:style w:type="character" w:styleId="Hyperlink">
    <w:name w:val="Hyperlink"/>
    <w:uiPriority w:val="99"/>
    <w:unhideWhenUsed/>
    <w:rsid w:val="00B25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aretz.co.il/gallery/mejunderet/1.1746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chmagazine.org/post/anne-marie-slaughter-in-the-atlantic-feminist-magazine-women-work-life-balance-children-care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1362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2014-10-27T11:19:00Z</dcterms:created>
  <dcterms:modified xsi:type="dcterms:W3CDTF">2014-10-27T11:23:00Z</dcterms:modified>
</cp:coreProperties>
</file>