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F8184" w14:textId="77777777" w:rsidR="007F7338" w:rsidRPr="00C80B74" w:rsidRDefault="007F7338" w:rsidP="00143D57">
      <w:pPr>
        <w:widowControl w:val="0"/>
        <w:tabs>
          <w:tab w:val="left" w:pos="8460"/>
        </w:tabs>
        <w:autoSpaceDE w:val="0"/>
        <w:autoSpaceDN w:val="0"/>
        <w:adjustRightInd w:val="0"/>
        <w:jc w:val="center"/>
        <w:rPr>
          <w:rFonts w:ascii="Arial" w:hAnsi="Arial" w:cs="Arial" w:hint="cs"/>
          <w:u w:val="single"/>
        </w:rPr>
      </w:pPr>
      <w:bookmarkStart w:id="0" w:name="_GoBack"/>
      <w:bookmarkEnd w:id="0"/>
    </w:p>
    <w:p w14:paraId="6C0877E5" w14:textId="77777777" w:rsidR="007F7338" w:rsidRPr="00C80B74" w:rsidRDefault="007F7338" w:rsidP="00143D57">
      <w:pPr>
        <w:widowControl w:val="0"/>
        <w:tabs>
          <w:tab w:val="left" w:pos="8460"/>
        </w:tabs>
        <w:autoSpaceDE w:val="0"/>
        <w:autoSpaceDN w:val="0"/>
        <w:adjustRightInd w:val="0"/>
        <w:jc w:val="center"/>
        <w:rPr>
          <w:rFonts w:ascii="Arial" w:hAnsi="Arial" w:cs="Arial"/>
          <w:u w:val="single"/>
          <w:rtl/>
        </w:rPr>
      </w:pPr>
    </w:p>
    <w:p w14:paraId="1BEC8F52" w14:textId="77777777" w:rsidR="007F7338" w:rsidRPr="00C80B74" w:rsidRDefault="007F7338" w:rsidP="00143D57">
      <w:pPr>
        <w:widowControl w:val="0"/>
        <w:tabs>
          <w:tab w:val="left" w:pos="8460"/>
        </w:tabs>
        <w:autoSpaceDE w:val="0"/>
        <w:autoSpaceDN w:val="0"/>
        <w:adjustRightInd w:val="0"/>
        <w:jc w:val="center"/>
        <w:rPr>
          <w:rFonts w:ascii="Arial" w:hAnsi="Arial" w:cs="Arial"/>
          <w:u w:val="single"/>
          <w:rtl/>
        </w:rPr>
      </w:pPr>
    </w:p>
    <w:p w14:paraId="5D42EB78" w14:textId="77777777" w:rsidR="007F7338" w:rsidRPr="00C80B74" w:rsidRDefault="00E61625" w:rsidP="002C2F79">
      <w:pPr>
        <w:widowControl w:val="0"/>
        <w:tabs>
          <w:tab w:val="left" w:pos="8460"/>
        </w:tabs>
        <w:autoSpaceDE w:val="0"/>
        <w:autoSpaceDN w:val="0"/>
        <w:adjustRightInd w:val="0"/>
        <w:jc w:val="center"/>
        <w:rPr>
          <w:rFonts w:ascii="Arial" w:hAnsi="Arial" w:cs="Arial"/>
          <w:b/>
          <w:bCs/>
          <w:rtl/>
        </w:rPr>
      </w:pPr>
      <w:r w:rsidRPr="00E61625">
        <w:rPr>
          <w:rFonts w:ascii="Arial" w:hAnsi="Arial" w:cs="Arial"/>
          <w:b/>
          <w:bCs/>
          <w:rtl/>
        </w:rPr>
        <w:t>פנומ</w:t>
      </w:r>
      <w:r w:rsidR="002C2F79">
        <w:rPr>
          <w:rFonts w:ascii="Arial" w:hAnsi="Arial" w:cs="Arial" w:hint="cs"/>
          <w:b/>
          <w:bCs/>
          <w:rtl/>
        </w:rPr>
        <w:t>נ</w:t>
      </w:r>
      <w:r w:rsidRPr="00E61625">
        <w:rPr>
          <w:rFonts w:ascii="Arial" w:hAnsi="Arial" w:cs="Arial"/>
          <w:b/>
          <w:bCs/>
          <w:rtl/>
        </w:rPr>
        <w:t>ולוגיה וקולנוע</w:t>
      </w:r>
    </w:p>
    <w:p w14:paraId="6B503AA6" w14:textId="77777777" w:rsidR="007F7338" w:rsidRPr="00C80B74" w:rsidRDefault="00E61625" w:rsidP="00143D57">
      <w:pPr>
        <w:widowControl w:val="0"/>
        <w:tabs>
          <w:tab w:val="left" w:pos="8460"/>
        </w:tabs>
        <w:autoSpaceDE w:val="0"/>
        <w:autoSpaceDN w:val="0"/>
        <w:adjustRightInd w:val="0"/>
        <w:jc w:val="center"/>
        <w:rPr>
          <w:rFonts w:ascii="Arial" w:hAnsi="Arial" w:cs="Arial"/>
          <w:b/>
          <w:bCs/>
          <w:rtl/>
        </w:rPr>
      </w:pPr>
      <w:r>
        <w:rPr>
          <w:rFonts w:ascii="Arial" w:hAnsi="Arial" w:cs="Arial"/>
          <w:b/>
          <w:bCs/>
        </w:rPr>
        <w:t>Phenomenology and the Moving Image</w:t>
      </w:r>
    </w:p>
    <w:p w14:paraId="7FE6ED42" w14:textId="09F61611" w:rsidR="007F7338" w:rsidRPr="00C80B74" w:rsidRDefault="00BA1503" w:rsidP="00972B47">
      <w:pPr>
        <w:widowControl w:val="0"/>
        <w:tabs>
          <w:tab w:val="left" w:pos="8460"/>
        </w:tabs>
        <w:autoSpaceDE w:val="0"/>
        <w:autoSpaceDN w:val="0"/>
        <w:adjustRightInd w:val="0"/>
        <w:jc w:val="center"/>
        <w:rPr>
          <w:rFonts w:ascii="Arial" w:hAnsi="Arial" w:cs="Arial"/>
          <w:b/>
          <w:bCs/>
          <w:rtl/>
        </w:rPr>
      </w:pPr>
      <w:r>
        <w:rPr>
          <w:rFonts w:ascii="Arial" w:hAnsi="Arial" w:cs="Arial"/>
          <w:b/>
          <w:bCs/>
          <w:rtl/>
        </w:rPr>
        <w:t>סמסטר</w:t>
      </w:r>
      <w:r w:rsidR="00972B47">
        <w:rPr>
          <w:rFonts w:ascii="Arial" w:hAnsi="Arial" w:cs="Arial" w:hint="cs"/>
          <w:b/>
          <w:bCs/>
          <w:rtl/>
        </w:rPr>
        <w:t xml:space="preserve"> ב</w:t>
      </w:r>
      <w:r w:rsidR="004A4448">
        <w:rPr>
          <w:rFonts w:ascii="Arial" w:hAnsi="Arial" w:cs="Arial" w:hint="cs"/>
          <w:b/>
          <w:bCs/>
          <w:rtl/>
        </w:rPr>
        <w:t xml:space="preserve">' </w:t>
      </w:r>
      <w:r>
        <w:rPr>
          <w:rFonts w:ascii="Arial" w:hAnsi="Arial" w:cs="Arial"/>
          <w:b/>
          <w:bCs/>
          <w:rtl/>
        </w:rPr>
        <w:t>תש</w:t>
      </w:r>
      <w:r w:rsidR="000C1EF0">
        <w:rPr>
          <w:rFonts w:ascii="Arial" w:hAnsi="Arial" w:cs="Arial" w:hint="cs"/>
          <w:b/>
          <w:bCs/>
          <w:rtl/>
        </w:rPr>
        <w:t>ע"</w:t>
      </w:r>
      <w:r w:rsidR="00063E83">
        <w:rPr>
          <w:rFonts w:ascii="Arial" w:hAnsi="Arial" w:cs="Arial" w:hint="cs"/>
          <w:b/>
          <w:bCs/>
          <w:rtl/>
        </w:rPr>
        <w:t>ז</w:t>
      </w:r>
    </w:p>
    <w:p w14:paraId="59290006" w14:textId="77777777" w:rsidR="007F7338" w:rsidRPr="00C80B74" w:rsidRDefault="004A4448" w:rsidP="00143D57">
      <w:pPr>
        <w:widowControl w:val="0"/>
        <w:tabs>
          <w:tab w:val="left" w:pos="8460"/>
        </w:tabs>
        <w:autoSpaceDE w:val="0"/>
        <w:autoSpaceDN w:val="0"/>
        <w:adjustRightInd w:val="0"/>
        <w:jc w:val="center"/>
        <w:rPr>
          <w:rFonts w:ascii="Arial" w:hAnsi="Arial" w:cs="Arial"/>
          <w:b/>
          <w:bCs/>
          <w:rtl/>
        </w:rPr>
      </w:pPr>
      <w:r>
        <w:rPr>
          <w:rFonts w:ascii="Arial" w:hAnsi="Arial" w:cs="Arial" w:hint="cs"/>
          <w:b/>
          <w:bCs/>
          <w:rtl/>
        </w:rPr>
        <w:t>4</w:t>
      </w:r>
      <w:r w:rsidR="007F7338" w:rsidRPr="00C80B74">
        <w:rPr>
          <w:rFonts w:ascii="Arial" w:hAnsi="Arial" w:cs="Arial"/>
          <w:b/>
          <w:bCs/>
          <w:rtl/>
        </w:rPr>
        <w:t xml:space="preserve"> ש"ס </w:t>
      </w:r>
    </w:p>
    <w:p w14:paraId="14F2DA8C" w14:textId="77777777" w:rsidR="007F7338" w:rsidRPr="00C80B74" w:rsidRDefault="007F7338" w:rsidP="00143D57">
      <w:pPr>
        <w:widowControl w:val="0"/>
        <w:tabs>
          <w:tab w:val="left" w:pos="8460"/>
        </w:tabs>
        <w:autoSpaceDE w:val="0"/>
        <w:autoSpaceDN w:val="0"/>
        <w:adjustRightInd w:val="0"/>
        <w:jc w:val="center"/>
        <w:rPr>
          <w:rFonts w:ascii="Arial" w:hAnsi="Arial" w:cs="Arial"/>
          <w:b/>
          <w:bCs/>
          <w:rtl/>
        </w:rPr>
      </w:pPr>
    </w:p>
    <w:p w14:paraId="43B6E3B5" w14:textId="77777777" w:rsidR="007F7338" w:rsidRPr="00C80B74" w:rsidRDefault="007F7338" w:rsidP="00143D57">
      <w:pPr>
        <w:widowControl w:val="0"/>
        <w:tabs>
          <w:tab w:val="left" w:pos="8460"/>
        </w:tabs>
        <w:autoSpaceDE w:val="0"/>
        <w:autoSpaceDN w:val="0"/>
        <w:adjustRightInd w:val="0"/>
        <w:jc w:val="center"/>
        <w:rPr>
          <w:rFonts w:ascii="Arial" w:hAnsi="Arial" w:cs="Arial"/>
          <w:rtl/>
        </w:rPr>
      </w:pPr>
      <w:r w:rsidRPr="00C80B74">
        <w:rPr>
          <w:rFonts w:ascii="Arial" w:hAnsi="Arial" w:cs="Arial"/>
          <w:b/>
          <w:bCs/>
          <w:rtl/>
        </w:rPr>
        <w:t>סוג המסגרת:</w:t>
      </w:r>
      <w:r w:rsidRPr="00C80B74">
        <w:rPr>
          <w:rFonts w:ascii="Arial" w:hAnsi="Arial" w:cs="Arial"/>
          <w:rtl/>
        </w:rPr>
        <w:t xml:space="preserve"> סמינר </w:t>
      </w:r>
      <w:r w:rsidR="00E61625">
        <w:rPr>
          <w:rFonts w:ascii="Arial" w:hAnsi="Arial" w:cs="Arial" w:hint="cs"/>
          <w:rtl/>
        </w:rPr>
        <w:t>מ.א.</w:t>
      </w:r>
    </w:p>
    <w:tbl>
      <w:tblPr>
        <w:bidiVisual/>
        <w:tblW w:w="0" w:type="auto"/>
        <w:tblInd w:w="243" w:type="dxa"/>
        <w:tblLook w:val="0000" w:firstRow="0" w:lastRow="0" w:firstColumn="0" w:lastColumn="0" w:noHBand="0" w:noVBand="0"/>
      </w:tblPr>
      <w:tblGrid>
        <w:gridCol w:w="3866"/>
        <w:gridCol w:w="4413"/>
      </w:tblGrid>
      <w:tr w:rsidR="007F7338" w:rsidRPr="00C80B74" w14:paraId="64D96F48" w14:textId="77777777" w:rsidTr="0080241B">
        <w:tc>
          <w:tcPr>
            <w:tcW w:w="8279" w:type="dxa"/>
            <w:gridSpan w:val="2"/>
          </w:tcPr>
          <w:p w14:paraId="5A4A6F18" w14:textId="77777777" w:rsidR="007F7338" w:rsidRDefault="007F7338" w:rsidP="00143D57">
            <w:pPr>
              <w:tabs>
                <w:tab w:val="left" w:pos="8460"/>
              </w:tabs>
              <w:jc w:val="center"/>
              <w:rPr>
                <w:rFonts w:ascii="Arial" w:hAnsi="Arial" w:cs="Arial"/>
                <w:rtl/>
              </w:rPr>
            </w:pPr>
            <w:r w:rsidRPr="00C80B74">
              <w:rPr>
                <w:rFonts w:ascii="Arial" w:hAnsi="Arial" w:cs="Arial"/>
                <w:b/>
                <w:bCs/>
                <w:rtl/>
              </w:rPr>
              <w:t>שם המרצה:</w:t>
            </w:r>
            <w:r w:rsidRPr="00C80B74">
              <w:rPr>
                <w:rFonts w:ascii="Arial" w:hAnsi="Arial" w:cs="Arial"/>
                <w:rtl/>
              </w:rPr>
              <w:t xml:space="preserve"> </w:t>
            </w:r>
            <w:r w:rsidR="004A4448">
              <w:rPr>
                <w:rFonts w:ascii="Arial" w:hAnsi="Arial" w:cs="Arial" w:hint="cs"/>
                <w:rtl/>
              </w:rPr>
              <w:t>ד"ר בועז חגין</w:t>
            </w:r>
          </w:p>
          <w:p w14:paraId="7494CB79" w14:textId="77777777" w:rsidR="004A4448" w:rsidRDefault="004A4448" w:rsidP="00143D57">
            <w:pPr>
              <w:tabs>
                <w:tab w:val="left" w:pos="8460"/>
              </w:tabs>
              <w:jc w:val="center"/>
              <w:rPr>
                <w:rFonts w:ascii="Arial" w:hAnsi="Arial" w:cs="Arial"/>
                <w:rtl/>
              </w:rPr>
            </w:pPr>
            <w:r w:rsidRPr="00C80B74">
              <w:rPr>
                <w:rFonts w:ascii="Arial" w:hAnsi="Arial" w:cs="Arial"/>
                <w:rtl/>
              </w:rPr>
              <w:t>דואר אלקטרוני:</w:t>
            </w:r>
            <w:r>
              <w:rPr>
                <w:rFonts w:ascii="Arial" w:hAnsi="Arial" w:cs="Arial" w:hint="cs"/>
                <w:rtl/>
              </w:rPr>
              <w:t xml:space="preserve"> </w:t>
            </w:r>
            <w:hyperlink r:id="rId7" w:history="1">
              <w:r w:rsidRPr="0080241B">
                <w:rPr>
                  <w:rStyle w:val="Hyperlink"/>
                  <w:rFonts w:ascii="Arial" w:hAnsi="Arial" w:cs="Arial"/>
                </w:rPr>
                <w:t>bhagin@post.tau.ac.il</w:t>
              </w:r>
            </w:hyperlink>
          </w:p>
          <w:p w14:paraId="0B4EE668" w14:textId="77777777" w:rsidR="004A4448" w:rsidRDefault="004A4448" w:rsidP="00143D57">
            <w:pPr>
              <w:tabs>
                <w:tab w:val="left" w:pos="8460"/>
              </w:tabs>
              <w:jc w:val="center"/>
              <w:rPr>
                <w:rFonts w:ascii="Arial" w:hAnsi="Arial" w:cs="Arial"/>
              </w:rPr>
            </w:pPr>
            <w:r>
              <w:rPr>
                <w:rFonts w:ascii="Arial" w:hAnsi="Arial" w:cs="Arial" w:hint="cs"/>
                <w:rtl/>
              </w:rPr>
              <w:t>שעות קבלה: בתיאום מראש באמצעות מייל</w:t>
            </w:r>
          </w:p>
          <w:p w14:paraId="6CE9EA96" w14:textId="77777777" w:rsidR="0080241B" w:rsidRPr="00C80B74" w:rsidRDefault="0080241B" w:rsidP="00143D57">
            <w:pPr>
              <w:tabs>
                <w:tab w:val="left" w:pos="8460"/>
              </w:tabs>
              <w:jc w:val="center"/>
              <w:rPr>
                <w:rFonts w:ascii="Arial" w:hAnsi="Arial" w:cs="Arial"/>
              </w:rPr>
            </w:pPr>
          </w:p>
        </w:tc>
      </w:tr>
      <w:tr w:rsidR="007F7338" w:rsidRPr="00C80B74" w14:paraId="0831A6C9" w14:textId="77777777" w:rsidTr="0080241B">
        <w:tc>
          <w:tcPr>
            <w:tcW w:w="3866" w:type="dxa"/>
          </w:tcPr>
          <w:p w14:paraId="048F017D" w14:textId="77777777" w:rsidR="007F7338" w:rsidRPr="00C80B74" w:rsidRDefault="007F7338" w:rsidP="00143D57">
            <w:pPr>
              <w:tabs>
                <w:tab w:val="left" w:pos="8460"/>
              </w:tabs>
              <w:jc w:val="center"/>
              <w:rPr>
                <w:rFonts w:ascii="Arial" w:hAnsi="Arial" w:cs="Arial"/>
              </w:rPr>
            </w:pPr>
          </w:p>
        </w:tc>
        <w:tc>
          <w:tcPr>
            <w:tcW w:w="4413" w:type="dxa"/>
          </w:tcPr>
          <w:p w14:paraId="7D38D433" w14:textId="77777777" w:rsidR="007F7338" w:rsidRPr="00C80B74" w:rsidRDefault="007F7338" w:rsidP="00143D57">
            <w:pPr>
              <w:tabs>
                <w:tab w:val="left" w:pos="8460"/>
              </w:tabs>
              <w:rPr>
                <w:rFonts w:ascii="Arial" w:hAnsi="Arial" w:cs="Arial"/>
              </w:rPr>
            </w:pPr>
          </w:p>
        </w:tc>
      </w:tr>
    </w:tbl>
    <w:p w14:paraId="73D8230A" w14:textId="77777777" w:rsidR="004A4448" w:rsidRDefault="004A4448" w:rsidP="00143D57">
      <w:pPr>
        <w:widowControl w:val="0"/>
        <w:tabs>
          <w:tab w:val="left" w:pos="8460"/>
        </w:tabs>
        <w:autoSpaceDE w:val="0"/>
        <w:autoSpaceDN w:val="0"/>
        <w:adjustRightInd w:val="0"/>
        <w:jc w:val="both"/>
        <w:rPr>
          <w:rFonts w:ascii="Arial" w:hAnsi="Arial" w:cs="Arial"/>
          <w:b/>
          <w:bCs/>
          <w:rtl/>
        </w:rPr>
      </w:pPr>
    </w:p>
    <w:p w14:paraId="45C53569" w14:textId="77777777" w:rsidR="00AA363B" w:rsidRPr="00AA363B" w:rsidRDefault="00AA363B" w:rsidP="00143D57">
      <w:pPr>
        <w:widowControl w:val="0"/>
        <w:tabs>
          <w:tab w:val="left" w:pos="8460"/>
        </w:tabs>
        <w:autoSpaceDE w:val="0"/>
        <w:autoSpaceDN w:val="0"/>
        <w:adjustRightInd w:val="0"/>
        <w:jc w:val="both"/>
        <w:rPr>
          <w:rFonts w:ascii="Arial" w:hAnsi="Arial" w:cs="Arial"/>
          <w:b/>
          <w:bCs/>
          <w:rtl/>
        </w:rPr>
      </w:pPr>
      <w:r w:rsidRPr="00AA363B">
        <w:rPr>
          <w:rFonts w:ascii="Arial" w:hAnsi="Arial" w:cs="Arial"/>
          <w:b/>
          <w:bCs/>
          <w:rtl/>
        </w:rPr>
        <w:t>תיאור הסמינר</w:t>
      </w:r>
    </w:p>
    <w:p w14:paraId="399EE3DF" w14:textId="52F553BD" w:rsidR="00AA363B" w:rsidRPr="00AA363B" w:rsidRDefault="00AA363B" w:rsidP="00063E83">
      <w:pPr>
        <w:widowControl w:val="0"/>
        <w:tabs>
          <w:tab w:val="left" w:pos="8460"/>
        </w:tabs>
        <w:autoSpaceDE w:val="0"/>
        <w:autoSpaceDN w:val="0"/>
        <w:adjustRightInd w:val="0"/>
        <w:rPr>
          <w:rFonts w:ascii="Arial" w:hAnsi="Arial" w:cs="Arial"/>
          <w:rtl/>
        </w:rPr>
      </w:pPr>
      <w:r w:rsidRPr="00AA363B">
        <w:rPr>
          <w:rFonts w:ascii="Arial" w:hAnsi="Arial" w:cs="Arial"/>
          <w:rtl/>
        </w:rPr>
        <w:t xml:space="preserve">אילו חוויות והתנסויות קיימות בקולנוע, בטלוויזיה ובמדיה חדשים? </w:t>
      </w:r>
      <w:r w:rsidR="000C1EF0">
        <w:rPr>
          <w:rFonts w:ascii="Arial" w:hAnsi="Arial" w:cs="Arial" w:hint="cs"/>
          <w:rtl/>
        </w:rPr>
        <w:t xml:space="preserve">מה קורה לאובייקט כשהוא מתווך על ידי הקולנוע? </w:t>
      </w:r>
      <w:r w:rsidRPr="00AA363B">
        <w:rPr>
          <w:rFonts w:ascii="Arial" w:hAnsi="Arial" w:cs="Arial"/>
          <w:rtl/>
        </w:rPr>
        <w:t>כיצד בני אדם חווים דימויים חזותיים וקוליים? האם מכשירי הצילום וההקרנה מהווים בעצמם סוג של תודעה או סובייקט לא-אנושי? בניגוד לפסיכואנליזה ששמה דגש על מה שלא מגיע לתודעה ולמחקרי מוח אשר מתארים את הביולוגיה שבתשתית התודעה, בסמינר זה נתרכז בהוגים אשר מנסים לתאר את חוויות התודעה עצמן, את ההתנסות שלנו או של אחרים בתור סובייקטים בעולם. בפרט נדון במסורת הפנומנולוגית (הוגים כגון הוסרל, מרלו-פונטי, הייד</w:t>
      </w:r>
      <w:r w:rsidR="00063E83">
        <w:rPr>
          <w:rFonts w:ascii="Arial" w:hAnsi="Arial" w:cs="Arial"/>
          <w:rtl/>
        </w:rPr>
        <w:t>גר, לוינאס, סארטר</w:t>
      </w:r>
      <w:r w:rsidR="007E66FA">
        <w:rPr>
          <w:rFonts w:ascii="Arial" w:hAnsi="Arial" w:cs="Arial"/>
        </w:rPr>
        <w:t>(</w:t>
      </w:r>
      <w:r w:rsidRPr="00AA363B">
        <w:rPr>
          <w:rFonts w:ascii="Arial" w:hAnsi="Arial" w:cs="Arial"/>
          <w:rtl/>
        </w:rPr>
        <w:t xml:space="preserve"> </w:t>
      </w:r>
      <w:r w:rsidR="00063E83">
        <w:rPr>
          <w:rFonts w:ascii="Arial" w:hAnsi="Arial" w:cs="Arial" w:hint="cs"/>
          <w:rtl/>
        </w:rPr>
        <w:t>ו</w:t>
      </w:r>
      <w:r w:rsidRPr="00AA363B">
        <w:rPr>
          <w:rFonts w:ascii="Arial" w:hAnsi="Arial" w:cs="Arial"/>
          <w:rtl/>
        </w:rPr>
        <w:t>בפיתוחיה בתיאוריה הקולנועית</w:t>
      </w:r>
      <w:r w:rsidR="00063E83">
        <w:rPr>
          <w:rFonts w:ascii="Arial" w:hAnsi="Arial" w:cs="Arial" w:hint="cs"/>
          <w:rtl/>
        </w:rPr>
        <w:t>.</w:t>
      </w:r>
    </w:p>
    <w:p w14:paraId="1F98BCFA" w14:textId="77777777" w:rsidR="00AA363B" w:rsidRPr="00AA363B" w:rsidRDefault="00AA363B" w:rsidP="00143D57">
      <w:pPr>
        <w:widowControl w:val="0"/>
        <w:tabs>
          <w:tab w:val="left" w:pos="8460"/>
        </w:tabs>
        <w:autoSpaceDE w:val="0"/>
        <w:autoSpaceDN w:val="0"/>
        <w:adjustRightInd w:val="0"/>
        <w:rPr>
          <w:rFonts w:ascii="Arial" w:hAnsi="Arial" w:cs="Arial"/>
          <w:rtl/>
        </w:rPr>
      </w:pPr>
    </w:p>
    <w:p w14:paraId="419689ED" w14:textId="77777777" w:rsidR="00AA363B" w:rsidRPr="00AA363B" w:rsidRDefault="00AA363B" w:rsidP="00063E83">
      <w:pPr>
        <w:widowControl w:val="0"/>
        <w:tabs>
          <w:tab w:val="left" w:pos="8460"/>
        </w:tabs>
        <w:autoSpaceDE w:val="0"/>
        <w:autoSpaceDN w:val="0"/>
        <w:bidi w:val="0"/>
        <w:adjustRightInd w:val="0"/>
        <w:rPr>
          <w:rFonts w:ascii="Arial" w:hAnsi="Arial" w:cs="Arial"/>
        </w:rPr>
      </w:pPr>
      <w:r w:rsidRPr="00AA363B">
        <w:rPr>
          <w:rFonts w:ascii="Arial" w:hAnsi="Arial" w:cs="Arial"/>
        </w:rPr>
        <w:t xml:space="preserve">What experiences can moving images offer? How do humans encounter visual and auditory images? </w:t>
      </w:r>
      <w:r w:rsidR="000C1EF0">
        <w:rPr>
          <w:rFonts w:ascii="Arial" w:hAnsi="Arial" w:cs="Arial"/>
        </w:rPr>
        <w:t xml:space="preserve">What happens to objects that are mediated through moving images? </w:t>
      </w:r>
      <w:r w:rsidRPr="00AA363B">
        <w:rPr>
          <w:rFonts w:ascii="Arial" w:hAnsi="Arial" w:cs="Arial"/>
        </w:rPr>
        <w:t>Can moving-image apparatuses be thought of as an embodied consciousness or non-human subjectivity? Whereas psychoanalysis often centers upon what remains outside our conscious thoughts and brain research deals with the biological structures that underlie our conscious experiences, this seminar will focus on philosophical attempts to give accounts of consciousness, of what it means for us or others to be in the world. In the seminar, we will discuss works that relate to the phenomenological movement (such as Husserl, Merleau-Ponty, Heidegger, Levinas, and Sartre) and their development within film theory and cultural studies</w:t>
      </w:r>
      <w:r w:rsidR="00063E83">
        <w:rPr>
          <w:rFonts w:ascii="Arial" w:hAnsi="Arial" w:cs="Arial"/>
        </w:rPr>
        <w:t>.</w:t>
      </w:r>
    </w:p>
    <w:p w14:paraId="47363166" w14:textId="77777777" w:rsidR="00AA363B" w:rsidRPr="00AA363B" w:rsidRDefault="00AA363B" w:rsidP="00143D57">
      <w:pPr>
        <w:widowControl w:val="0"/>
        <w:tabs>
          <w:tab w:val="left" w:pos="8460"/>
        </w:tabs>
        <w:autoSpaceDE w:val="0"/>
        <w:autoSpaceDN w:val="0"/>
        <w:adjustRightInd w:val="0"/>
        <w:rPr>
          <w:rFonts w:ascii="Arial" w:hAnsi="Arial" w:cs="Arial"/>
          <w:rtl/>
        </w:rPr>
      </w:pPr>
    </w:p>
    <w:p w14:paraId="0511E9E7" w14:textId="77777777" w:rsidR="00AA363B" w:rsidRPr="00AA363B" w:rsidRDefault="00AA363B" w:rsidP="00143D57">
      <w:pPr>
        <w:widowControl w:val="0"/>
        <w:tabs>
          <w:tab w:val="left" w:pos="8460"/>
        </w:tabs>
        <w:autoSpaceDE w:val="0"/>
        <w:autoSpaceDN w:val="0"/>
        <w:adjustRightInd w:val="0"/>
        <w:rPr>
          <w:rFonts w:ascii="Arial" w:hAnsi="Arial" w:cs="Arial"/>
          <w:rtl/>
        </w:rPr>
      </w:pPr>
    </w:p>
    <w:p w14:paraId="1B470036" w14:textId="77777777" w:rsidR="009E350F" w:rsidRDefault="009E350F" w:rsidP="000C1EF0">
      <w:pPr>
        <w:widowControl w:val="0"/>
        <w:tabs>
          <w:tab w:val="left" w:pos="8460"/>
        </w:tabs>
        <w:autoSpaceDE w:val="0"/>
        <w:autoSpaceDN w:val="0"/>
        <w:adjustRightInd w:val="0"/>
        <w:rPr>
          <w:rFonts w:ascii="Arial" w:hAnsi="Arial" w:cs="Arial"/>
          <w:b/>
          <w:bCs/>
          <w:rtl/>
        </w:rPr>
      </w:pPr>
      <w:r>
        <w:rPr>
          <w:rFonts w:ascii="Arial" w:hAnsi="Arial" w:cs="Arial" w:hint="cs"/>
          <w:b/>
          <w:bCs/>
          <w:rtl/>
        </w:rPr>
        <w:t>דרישות הסמינר ו</w:t>
      </w:r>
      <w:r w:rsidRPr="00C80B74">
        <w:rPr>
          <w:rFonts w:ascii="Arial" w:hAnsi="Arial" w:cs="Arial"/>
          <w:b/>
          <w:bCs/>
          <w:rtl/>
        </w:rPr>
        <w:t xml:space="preserve">מרכיבי הציון הסופי </w:t>
      </w:r>
      <w:r w:rsidR="000C1EF0" w:rsidRPr="000C1EF0">
        <w:rPr>
          <w:rFonts w:ascii="Arial" w:hAnsi="Arial" w:cs="Arial" w:hint="cs"/>
          <w:rtl/>
        </w:rPr>
        <w:t>(</w:t>
      </w:r>
      <w:r w:rsidR="000C1EF0">
        <w:rPr>
          <w:rFonts w:ascii="Arial" w:hAnsi="Arial" w:cs="Arial" w:hint="cs"/>
          <w:rtl/>
        </w:rPr>
        <w:t xml:space="preserve">ייתכנו </w:t>
      </w:r>
      <w:r w:rsidR="000C1EF0" w:rsidRPr="000C1EF0">
        <w:rPr>
          <w:rFonts w:ascii="Arial" w:hAnsi="Arial" w:cs="Arial" w:hint="cs"/>
          <w:rtl/>
        </w:rPr>
        <w:t>שינויים)</w:t>
      </w:r>
    </w:p>
    <w:p w14:paraId="0DDFE16D" w14:textId="77777777" w:rsidR="00AA363B" w:rsidRPr="00AA363B" w:rsidRDefault="00AA363B" w:rsidP="000C1EF0">
      <w:pPr>
        <w:widowControl w:val="0"/>
        <w:tabs>
          <w:tab w:val="left" w:pos="8460"/>
        </w:tabs>
        <w:autoSpaceDE w:val="0"/>
        <w:autoSpaceDN w:val="0"/>
        <w:adjustRightInd w:val="0"/>
        <w:rPr>
          <w:rFonts w:ascii="Arial" w:hAnsi="Arial" w:cs="Arial"/>
          <w:rtl/>
        </w:rPr>
      </w:pPr>
      <w:r w:rsidRPr="00AA363B">
        <w:rPr>
          <w:rFonts w:ascii="Arial" w:hAnsi="Arial" w:cs="Arial"/>
          <w:rtl/>
        </w:rPr>
        <w:t xml:space="preserve">10% השתתפות פעילה </w:t>
      </w:r>
    </w:p>
    <w:p w14:paraId="60D7C2DA" w14:textId="77777777" w:rsidR="00AA363B" w:rsidRPr="00AA363B" w:rsidRDefault="00AA363B" w:rsidP="00143D57">
      <w:pPr>
        <w:widowControl w:val="0"/>
        <w:tabs>
          <w:tab w:val="left" w:pos="8460"/>
        </w:tabs>
        <w:autoSpaceDE w:val="0"/>
        <w:autoSpaceDN w:val="0"/>
        <w:adjustRightInd w:val="0"/>
        <w:rPr>
          <w:rFonts w:ascii="Arial" w:hAnsi="Arial" w:cs="Arial"/>
          <w:rtl/>
        </w:rPr>
      </w:pPr>
      <w:r w:rsidRPr="00AA363B">
        <w:rPr>
          <w:rFonts w:ascii="Arial" w:hAnsi="Arial" w:cs="Arial"/>
          <w:rtl/>
        </w:rPr>
        <w:t>30% רפרטים בעל פה במהלך הסמינר</w:t>
      </w:r>
    </w:p>
    <w:p w14:paraId="505AFE22" w14:textId="77777777" w:rsidR="00AA363B" w:rsidRPr="00AA363B" w:rsidRDefault="00AA363B" w:rsidP="00143D57">
      <w:pPr>
        <w:widowControl w:val="0"/>
        <w:tabs>
          <w:tab w:val="left" w:pos="8460"/>
        </w:tabs>
        <w:autoSpaceDE w:val="0"/>
        <w:autoSpaceDN w:val="0"/>
        <w:adjustRightInd w:val="0"/>
        <w:rPr>
          <w:rFonts w:ascii="Arial" w:hAnsi="Arial" w:cs="Arial"/>
          <w:rtl/>
        </w:rPr>
      </w:pPr>
      <w:r w:rsidRPr="00AA363B">
        <w:rPr>
          <w:rFonts w:ascii="Arial" w:hAnsi="Arial" w:cs="Arial"/>
          <w:rtl/>
        </w:rPr>
        <w:t>60% עבודת סמינר/רפרט בכתב</w:t>
      </w:r>
    </w:p>
    <w:p w14:paraId="4DD44F7E" w14:textId="77777777" w:rsidR="004A4448" w:rsidRDefault="004A4448" w:rsidP="00143D57">
      <w:pPr>
        <w:widowControl w:val="0"/>
        <w:tabs>
          <w:tab w:val="left" w:pos="8460"/>
        </w:tabs>
        <w:autoSpaceDE w:val="0"/>
        <w:autoSpaceDN w:val="0"/>
        <w:adjustRightInd w:val="0"/>
        <w:jc w:val="both"/>
        <w:rPr>
          <w:rFonts w:ascii="Arial" w:hAnsi="Arial" w:cs="Arial"/>
          <w:rtl/>
        </w:rPr>
      </w:pPr>
    </w:p>
    <w:p w14:paraId="64FA7940" w14:textId="77777777" w:rsidR="000C1EF0" w:rsidRDefault="009E350F" w:rsidP="00143D57">
      <w:pPr>
        <w:widowControl w:val="0"/>
        <w:tabs>
          <w:tab w:val="left" w:pos="8460"/>
        </w:tabs>
        <w:autoSpaceDE w:val="0"/>
        <w:autoSpaceDN w:val="0"/>
        <w:adjustRightInd w:val="0"/>
        <w:jc w:val="both"/>
        <w:rPr>
          <w:rFonts w:ascii="Arial" w:hAnsi="Arial" w:cs="Arial"/>
          <w:b/>
          <w:bCs/>
        </w:rPr>
      </w:pPr>
      <w:r>
        <w:rPr>
          <w:rFonts w:ascii="Arial" w:hAnsi="Arial" w:cs="Arial"/>
          <w:b/>
          <w:bCs/>
          <w:rtl/>
        </w:rPr>
        <w:br w:type="page"/>
      </w:r>
      <w:r w:rsidR="000C1EF0">
        <w:rPr>
          <w:rFonts w:ascii="Arial" w:hAnsi="Arial" w:cs="Arial" w:hint="cs"/>
          <w:b/>
          <w:bCs/>
          <w:rtl/>
        </w:rPr>
        <w:lastRenderedPageBreak/>
        <w:t>קריאת חובה על פי סדר המפגשים (נתון לשינויים)</w:t>
      </w:r>
    </w:p>
    <w:p w14:paraId="780A7C57" w14:textId="77777777" w:rsidR="000C1EF0" w:rsidRPr="000C1EF0" w:rsidRDefault="000C1EF0" w:rsidP="000C1EF0">
      <w:pPr>
        <w:widowControl w:val="0"/>
        <w:tabs>
          <w:tab w:val="left" w:pos="8460"/>
        </w:tabs>
        <w:autoSpaceDE w:val="0"/>
        <w:autoSpaceDN w:val="0"/>
        <w:bidi w:val="0"/>
        <w:adjustRightInd w:val="0"/>
        <w:ind w:left="720" w:hanging="720"/>
        <w:jc w:val="both"/>
      </w:pPr>
      <w:r w:rsidRPr="00523315">
        <w:t>Andrew, Dudley. “The Neglected Tradition of Phenomenology in Film Theory.” </w:t>
      </w:r>
      <w:r w:rsidRPr="00523315">
        <w:rPr>
          <w:i/>
          <w:iCs/>
        </w:rPr>
        <w:t>Movies and Methods</w:t>
      </w:r>
      <w:r w:rsidRPr="00523315">
        <w:t xml:space="preserve">. Vol. 2. Ed. Bill Nichols. Berkeley: University of California Press, 1985. </w:t>
      </w:r>
      <w:r w:rsidRPr="000C1EF0">
        <w:t xml:space="preserve">625-632. rpt. of </w:t>
      </w:r>
      <w:r w:rsidRPr="000C1EF0">
        <w:rPr>
          <w:i/>
          <w:iCs/>
        </w:rPr>
        <w:t>Wide Angle</w:t>
      </w:r>
      <w:r w:rsidRPr="000C1EF0">
        <w:t xml:space="preserve"> 2.2 (1978).</w:t>
      </w:r>
    </w:p>
    <w:p w14:paraId="45510B9E" w14:textId="77777777" w:rsidR="000C1EF0" w:rsidRPr="000C1EF0" w:rsidRDefault="000C1EF0" w:rsidP="000C1EF0">
      <w:pPr>
        <w:widowControl w:val="0"/>
        <w:tabs>
          <w:tab w:val="left" w:pos="8460"/>
        </w:tabs>
        <w:autoSpaceDE w:val="0"/>
        <w:autoSpaceDN w:val="0"/>
        <w:bidi w:val="0"/>
        <w:adjustRightInd w:val="0"/>
        <w:ind w:left="720" w:hanging="720"/>
        <w:jc w:val="both"/>
        <w:rPr>
          <w:lang w:val="en"/>
        </w:rPr>
      </w:pPr>
      <w:r w:rsidRPr="000C1EF0">
        <w:t>Descartes, René. “</w:t>
      </w:r>
      <w:r w:rsidRPr="000C1EF0">
        <w:rPr>
          <w:lang w:val="en"/>
        </w:rPr>
        <w:t>Meditations on First Philosophy.” T</w:t>
      </w:r>
      <w:r w:rsidRPr="000C1EF0">
        <w:t xml:space="preserve">rans. John Cottingham. </w:t>
      </w:r>
      <w:r w:rsidRPr="000C1EF0">
        <w:rPr>
          <w:i/>
          <w:iCs/>
        </w:rPr>
        <w:t>Descartes: Selected Philosophical Writings</w:t>
      </w:r>
      <w:r w:rsidRPr="000C1EF0">
        <w:t xml:space="preserve">. </w:t>
      </w:r>
      <w:r w:rsidRPr="000C1EF0">
        <w:rPr>
          <w:lang w:val="en"/>
        </w:rPr>
        <w:t>1641. Cambridge: Cambridge University Press, 1988. 73-122.</w:t>
      </w:r>
    </w:p>
    <w:p w14:paraId="51378989" w14:textId="77777777" w:rsidR="000C1EF0" w:rsidRDefault="000C1EF0" w:rsidP="000C1EF0">
      <w:pPr>
        <w:widowControl w:val="0"/>
        <w:tabs>
          <w:tab w:val="left" w:pos="8460"/>
        </w:tabs>
        <w:autoSpaceDE w:val="0"/>
        <w:autoSpaceDN w:val="0"/>
        <w:bidi w:val="0"/>
        <w:adjustRightInd w:val="0"/>
        <w:ind w:left="720" w:hanging="720"/>
        <w:jc w:val="both"/>
        <w:rPr>
          <w:rtl/>
        </w:rPr>
      </w:pPr>
      <w:r>
        <w:t xml:space="preserve">Husserl, Edmund. “Phenomenology.” </w:t>
      </w:r>
      <w:r>
        <w:rPr>
          <w:i/>
          <w:iCs/>
        </w:rPr>
        <w:t>Critical Theory since 1965</w:t>
      </w:r>
      <w:r>
        <w:t>. Eds. Hazard Adams and Leroy Searle. Tallahassee: Florida State University Press, 1989. 657–663.</w:t>
      </w:r>
    </w:p>
    <w:p w14:paraId="5AA41E24" w14:textId="77777777" w:rsidR="000C1EF0" w:rsidRDefault="000C1EF0" w:rsidP="000C1EF0">
      <w:pPr>
        <w:widowControl w:val="0"/>
        <w:tabs>
          <w:tab w:val="left" w:pos="8460"/>
        </w:tabs>
        <w:autoSpaceDE w:val="0"/>
        <w:autoSpaceDN w:val="0"/>
        <w:bidi w:val="0"/>
        <w:adjustRightInd w:val="0"/>
        <w:ind w:left="720" w:hanging="720"/>
        <w:jc w:val="both"/>
        <w:rPr>
          <w:color w:val="000000"/>
        </w:rPr>
      </w:pPr>
      <w:r w:rsidRPr="000C1EF0">
        <w:t>Munsterberg</w:t>
      </w:r>
      <w:r w:rsidRPr="00337D83">
        <w:rPr>
          <w:color w:val="000000"/>
        </w:rPr>
        <w:t>, Hugo. “The Means of the Photoplay.”  </w:t>
      </w:r>
      <w:r w:rsidRPr="00337D83">
        <w:rPr>
          <w:i/>
          <w:iCs/>
          <w:color w:val="000000"/>
        </w:rPr>
        <w:t>The Photoplay: A Psychological Study</w:t>
      </w:r>
      <w:r w:rsidRPr="00337D83">
        <w:rPr>
          <w:color w:val="000000"/>
        </w:rPr>
        <w:t>. New York and London: Appleton, 1916. 170-190.</w:t>
      </w:r>
    </w:p>
    <w:p w14:paraId="65252EF5" w14:textId="77777777" w:rsidR="000C1EF0" w:rsidRDefault="000C1EF0" w:rsidP="000C1EF0">
      <w:pPr>
        <w:widowControl w:val="0"/>
        <w:tabs>
          <w:tab w:val="left" w:pos="8460"/>
        </w:tabs>
        <w:autoSpaceDE w:val="0"/>
        <w:autoSpaceDN w:val="0"/>
        <w:bidi w:val="0"/>
        <w:adjustRightInd w:val="0"/>
        <w:ind w:left="720" w:hanging="720"/>
        <w:jc w:val="both"/>
        <w:rPr>
          <w:color w:val="000000"/>
        </w:rPr>
      </w:pPr>
      <w:r w:rsidRPr="000C1EF0">
        <w:t>Levinas</w:t>
      </w:r>
      <w:r w:rsidRPr="00337D83">
        <w:rPr>
          <w:color w:val="000000"/>
        </w:rPr>
        <w:t>, Emmanuel. “Reality and Its Shadow.” </w:t>
      </w:r>
      <w:r>
        <w:rPr>
          <w:color w:val="000000"/>
        </w:rPr>
        <w:t xml:space="preserve"> </w:t>
      </w:r>
      <w:r w:rsidRPr="00337D83">
        <w:rPr>
          <w:color w:val="000000"/>
        </w:rPr>
        <w:t>Trans.</w:t>
      </w:r>
      <w:r>
        <w:rPr>
          <w:color w:val="000000"/>
        </w:rPr>
        <w:t xml:space="preserve"> </w:t>
      </w:r>
      <w:r w:rsidRPr="00337D83">
        <w:rPr>
          <w:color w:val="000000"/>
        </w:rPr>
        <w:t>Alphonso</w:t>
      </w:r>
      <w:r>
        <w:rPr>
          <w:color w:val="000000"/>
        </w:rPr>
        <w:t xml:space="preserve"> </w:t>
      </w:r>
      <w:r w:rsidRPr="00337D83">
        <w:rPr>
          <w:color w:val="000000"/>
        </w:rPr>
        <w:t>Lingis.</w:t>
      </w:r>
      <w:r>
        <w:rPr>
          <w:color w:val="000000"/>
        </w:rPr>
        <w:t xml:space="preserve"> </w:t>
      </w:r>
      <w:r w:rsidRPr="00D40BE2">
        <w:rPr>
          <w:i/>
          <w:iCs/>
          <w:color w:val="000000"/>
        </w:rPr>
        <w:t>The Levinas Reader</w:t>
      </w:r>
      <w:r>
        <w:rPr>
          <w:color w:val="000000"/>
        </w:rPr>
        <w:t xml:space="preserve">. Ed. </w:t>
      </w:r>
      <w:r w:rsidRPr="0089009F">
        <w:rPr>
          <w:color w:val="000000"/>
        </w:rPr>
        <w:t>Se</w:t>
      </w:r>
      <w:r>
        <w:rPr>
          <w:color w:val="000000"/>
        </w:rPr>
        <w:t>á</w:t>
      </w:r>
      <w:r w:rsidRPr="0089009F">
        <w:rPr>
          <w:color w:val="000000"/>
        </w:rPr>
        <w:t>n Hand</w:t>
      </w:r>
      <w:r>
        <w:rPr>
          <w:color w:val="000000"/>
        </w:rPr>
        <w:t xml:space="preserve">. Oxford: </w:t>
      </w:r>
      <w:r w:rsidRPr="00D40BE2">
        <w:rPr>
          <w:color w:val="000000"/>
        </w:rPr>
        <w:t>Basil Blackwell</w:t>
      </w:r>
      <w:r>
        <w:rPr>
          <w:color w:val="000000"/>
        </w:rPr>
        <w:t>, 1989. 129-143.</w:t>
      </w:r>
    </w:p>
    <w:p w14:paraId="59852989" w14:textId="19B92924" w:rsidR="00972B47" w:rsidRPr="00972B47" w:rsidRDefault="00972B47" w:rsidP="00972B47">
      <w:pPr>
        <w:widowControl w:val="0"/>
        <w:tabs>
          <w:tab w:val="left" w:pos="8460"/>
        </w:tabs>
        <w:autoSpaceDE w:val="0"/>
        <w:autoSpaceDN w:val="0"/>
        <w:bidi w:val="0"/>
        <w:adjustRightInd w:val="0"/>
        <w:ind w:left="720" w:hanging="720"/>
        <w:jc w:val="both"/>
        <w:rPr>
          <w:color w:val="000000"/>
        </w:rPr>
      </w:pPr>
      <w:r w:rsidRPr="00972B47">
        <w:rPr>
          <w:rFonts w:cs="FrankRuehl"/>
        </w:rPr>
        <w:t xml:space="preserve">Yacavone, Daniel. “Film and the Phenomenology of Art: Reappraising Merleau-Ponty on Cinema as Form, Medium, and Expression.” </w:t>
      </w:r>
      <w:r w:rsidRPr="00972B47">
        <w:rPr>
          <w:rFonts w:cs="FrankRuehl"/>
          <w:i/>
          <w:iCs/>
        </w:rPr>
        <w:t xml:space="preserve">New Literary History </w:t>
      </w:r>
      <w:r w:rsidRPr="00972B47">
        <w:rPr>
          <w:rFonts w:cs="FrankRuehl"/>
        </w:rPr>
        <w:t>47.1 (2016): 159–186</w:t>
      </w:r>
      <w:r>
        <w:rPr>
          <w:rFonts w:cs="FrankRuehl"/>
        </w:rPr>
        <w:t>.</w:t>
      </w:r>
    </w:p>
    <w:p w14:paraId="5E874BB6" w14:textId="77777777" w:rsidR="000C1EF0" w:rsidRPr="00A063B3" w:rsidRDefault="000C1EF0" w:rsidP="000C1EF0">
      <w:pPr>
        <w:widowControl w:val="0"/>
        <w:tabs>
          <w:tab w:val="left" w:pos="8460"/>
        </w:tabs>
        <w:autoSpaceDE w:val="0"/>
        <w:autoSpaceDN w:val="0"/>
        <w:bidi w:val="0"/>
        <w:adjustRightInd w:val="0"/>
        <w:ind w:left="720" w:hanging="720"/>
        <w:jc w:val="both"/>
        <w:rPr>
          <w:color w:val="000000"/>
        </w:rPr>
      </w:pPr>
      <w:r w:rsidRPr="00972B47">
        <w:t>Merleau</w:t>
      </w:r>
      <w:r w:rsidRPr="00972B47">
        <w:rPr>
          <w:color w:val="000000"/>
        </w:rPr>
        <w:t xml:space="preserve">-Ponty, Maurice. “The Intertwining-The Chiasm.” </w:t>
      </w:r>
      <w:r w:rsidRPr="00972B47">
        <w:rPr>
          <w:i/>
          <w:iCs/>
          <w:color w:val="000000"/>
        </w:rPr>
        <w:t>The Visible and the Invisible</w:t>
      </w:r>
      <w:r w:rsidRPr="00972B47">
        <w:rPr>
          <w:color w:val="000000"/>
        </w:rPr>
        <w:t>.</w:t>
      </w:r>
      <w:r w:rsidRPr="00A063B3">
        <w:rPr>
          <w:color w:val="000000"/>
        </w:rPr>
        <w:t xml:space="preserve"> Ed. Claude Lefort. Trans. Alphonso Lingis. Evanston: Northwestern University Press, 1968. 130-155.</w:t>
      </w:r>
    </w:p>
    <w:p w14:paraId="077075BD" w14:textId="77777777" w:rsidR="000C1EF0" w:rsidRDefault="000C1EF0" w:rsidP="000C1EF0">
      <w:pPr>
        <w:widowControl w:val="0"/>
        <w:tabs>
          <w:tab w:val="left" w:pos="8460"/>
        </w:tabs>
        <w:autoSpaceDE w:val="0"/>
        <w:autoSpaceDN w:val="0"/>
        <w:bidi w:val="0"/>
        <w:adjustRightInd w:val="0"/>
        <w:ind w:left="720" w:hanging="720"/>
        <w:jc w:val="both"/>
        <w:rPr>
          <w:color w:val="000000"/>
        </w:rPr>
      </w:pPr>
      <w:r w:rsidRPr="000C1EF0">
        <w:t>Sobchack</w:t>
      </w:r>
      <w:r w:rsidRPr="00337D83">
        <w:rPr>
          <w:color w:val="000000"/>
        </w:rPr>
        <w:t>, Vivian. “‘Surge and Splendor’: A Phenomenology of the Hollywood Historical</w:t>
      </w:r>
      <w:r>
        <w:rPr>
          <w:color w:val="000000"/>
        </w:rPr>
        <w:t xml:space="preserve"> </w:t>
      </w:r>
      <w:r w:rsidRPr="00337D83">
        <w:rPr>
          <w:color w:val="000000"/>
        </w:rPr>
        <w:t>Epic.” </w:t>
      </w:r>
      <w:r w:rsidRPr="00337D83">
        <w:rPr>
          <w:i/>
          <w:iCs/>
          <w:color w:val="000000"/>
        </w:rPr>
        <w:t>Representations</w:t>
      </w:r>
      <w:r w:rsidRPr="00337D83">
        <w:rPr>
          <w:color w:val="000000"/>
        </w:rPr>
        <w:t> 29 (1990): 24-49. </w:t>
      </w:r>
    </w:p>
    <w:p w14:paraId="0061875D" w14:textId="77777777" w:rsidR="000C1EF0" w:rsidRDefault="000C1EF0" w:rsidP="000C1EF0">
      <w:pPr>
        <w:widowControl w:val="0"/>
        <w:tabs>
          <w:tab w:val="left" w:pos="8460"/>
        </w:tabs>
        <w:autoSpaceDE w:val="0"/>
        <w:autoSpaceDN w:val="0"/>
        <w:bidi w:val="0"/>
        <w:adjustRightInd w:val="0"/>
        <w:ind w:left="720" w:hanging="720"/>
        <w:jc w:val="both"/>
        <w:rPr>
          <w:color w:val="000000"/>
        </w:rPr>
      </w:pPr>
      <w:r w:rsidRPr="00003F98">
        <w:rPr>
          <w:color w:val="000000"/>
        </w:rPr>
        <w:t>Heidegger, Martin.</w:t>
      </w:r>
      <w:r>
        <w:rPr>
          <w:color w:val="000000"/>
        </w:rPr>
        <w:t xml:space="preserve"> </w:t>
      </w:r>
      <w:r>
        <w:rPr>
          <w:i/>
          <w:iCs/>
          <w:color w:val="000000"/>
        </w:rPr>
        <w:t>Being and Time</w:t>
      </w:r>
      <w:r>
        <w:rPr>
          <w:color w:val="000000"/>
        </w:rPr>
        <w:t>. esp. pp. 19-35 (¶¶1-3/H1-H15) and 91-107 (¶¶14-16/H63-76)</w:t>
      </w:r>
    </w:p>
    <w:p w14:paraId="3892BB00" w14:textId="77777777" w:rsidR="000C1EF0" w:rsidRDefault="000C1EF0" w:rsidP="000C1EF0">
      <w:pPr>
        <w:widowControl w:val="0"/>
        <w:tabs>
          <w:tab w:val="left" w:pos="8460"/>
        </w:tabs>
        <w:autoSpaceDE w:val="0"/>
        <w:autoSpaceDN w:val="0"/>
        <w:bidi w:val="0"/>
        <w:adjustRightInd w:val="0"/>
        <w:ind w:left="720" w:hanging="720"/>
        <w:jc w:val="both"/>
        <w:rPr>
          <w:color w:val="000000"/>
        </w:rPr>
      </w:pPr>
      <w:r w:rsidRPr="00003F98">
        <w:rPr>
          <w:color w:val="000000"/>
        </w:rPr>
        <w:t xml:space="preserve">Heidegger, Martin. “The Age of the World Picture.” </w:t>
      </w:r>
      <w:r w:rsidRPr="00003F98">
        <w:rPr>
          <w:i/>
          <w:iCs/>
          <w:color w:val="000000"/>
        </w:rPr>
        <w:t>The Question Concerning Technology and Other Essays</w:t>
      </w:r>
      <w:r w:rsidRPr="00003F98">
        <w:rPr>
          <w:color w:val="000000"/>
        </w:rPr>
        <w:t>. Trans. William Lovitt. New York: Garland Publishing, 1977. 115-154.</w:t>
      </w:r>
    </w:p>
    <w:p w14:paraId="701CBC06" w14:textId="77777777" w:rsidR="000C1EF0" w:rsidRDefault="000C1EF0" w:rsidP="000C1EF0">
      <w:pPr>
        <w:widowControl w:val="0"/>
        <w:tabs>
          <w:tab w:val="left" w:pos="8460"/>
        </w:tabs>
        <w:autoSpaceDE w:val="0"/>
        <w:autoSpaceDN w:val="0"/>
        <w:bidi w:val="0"/>
        <w:adjustRightInd w:val="0"/>
        <w:ind w:left="720" w:hanging="720"/>
        <w:jc w:val="both"/>
      </w:pPr>
      <w:r w:rsidRPr="00831B16">
        <w:t xml:space="preserve">Kracauer, Siegfried. “Photography.” Trans. Thomas Y. Levin. </w:t>
      </w:r>
      <w:r w:rsidRPr="00831B16">
        <w:rPr>
          <w:i/>
          <w:iCs/>
        </w:rPr>
        <w:t>Critical Inquiry</w:t>
      </w:r>
      <w:r w:rsidRPr="00831B16">
        <w:t xml:space="preserve"> 19.3 (1993): 421-436.</w:t>
      </w:r>
    </w:p>
    <w:p w14:paraId="19663648" w14:textId="77777777" w:rsidR="000C1EF0" w:rsidRDefault="000C1EF0" w:rsidP="000C1EF0">
      <w:pPr>
        <w:widowControl w:val="0"/>
        <w:tabs>
          <w:tab w:val="left" w:pos="8460"/>
        </w:tabs>
        <w:autoSpaceDE w:val="0"/>
        <w:autoSpaceDN w:val="0"/>
        <w:bidi w:val="0"/>
        <w:adjustRightInd w:val="0"/>
        <w:ind w:left="720" w:hanging="720"/>
        <w:jc w:val="both"/>
      </w:pPr>
      <w:r w:rsidRPr="00831B16">
        <w:t xml:space="preserve">Elsaesser, Thomas. “The ‘Return’ of 3-D: On Some of the Logics and Genealogies of the Image in the Twenty-First Century.” </w:t>
      </w:r>
      <w:r w:rsidRPr="00831B16">
        <w:rPr>
          <w:i/>
          <w:iCs/>
        </w:rPr>
        <w:t>Critical Inquiry</w:t>
      </w:r>
      <w:r w:rsidRPr="00831B16">
        <w:t xml:space="preserve"> 39 (2013): 217-246.</w:t>
      </w:r>
    </w:p>
    <w:p w14:paraId="289A573F" w14:textId="0EF2790B" w:rsidR="007E66FA" w:rsidRPr="007E66FA" w:rsidRDefault="007E66FA" w:rsidP="007E66FA">
      <w:pPr>
        <w:widowControl w:val="0"/>
        <w:tabs>
          <w:tab w:val="left" w:pos="8460"/>
        </w:tabs>
        <w:autoSpaceDE w:val="0"/>
        <w:autoSpaceDN w:val="0"/>
        <w:bidi w:val="0"/>
        <w:adjustRightInd w:val="0"/>
        <w:ind w:left="720" w:hanging="720"/>
        <w:jc w:val="both"/>
        <w:rPr>
          <w:i/>
          <w:iCs/>
        </w:rPr>
      </w:pPr>
      <w:r>
        <w:t xml:space="preserve">von </w:t>
      </w:r>
      <w:r w:rsidRPr="007E66FA">
        <w:t>Uexk</w:t>
      </w:r>
      <w:r>
        <w:t>ü</w:t>
      </w:r>
      <w:r w:rsidRPr="007E66FA">
        <w:t>ll</w:t>
      </w:r>
      <w:r>
        <w:t xml:space="preserve">, Jakob. “A Foray into the Worlds of Animals and Humans.” </w:t>
      </w:r>
      <w:r w:rsidRPr="007E66FA">
        <w:rPr>
          <w:i/>
          <w:iCs/>
        </w:rPr>
        <w:t>Foray into the Worlds of Animals and Humans</w:t>
      </w:r>
      <w:r>
        <w:t>. Trans. Joseph D. O’Neil. Minneapolis: University of Minnesota Press, 2010. 41–135.</w:t>
      </w:r>
    </w:p>
    <w:p w14:paraId="013D24A1" w14:textId="77777777" w:rsidR="000C1EF0" w:rsidRDefault="000C1EF0" w:rsidP="000C1EF0">
      <w:pPr>
        <w:widowControl w:val="0"/>
        <w:tabs>
          <w:tab w:val="left" w:pos="8460"/>
        </w:tabs>
        <w:autoSpaceDE w:val="0"/>
        <w:autoSpaceDN w:val="0"/>
        <w:bidi w:val="0"/>
        <w:adjustRightInd w:val="0"/>
        <w:ind w:left="720" w:hanging="720"/>
        <w:jc w:val="both"/>
      </w:pPr>
      <w:r>
        <w:t xml:space="preserve">Deleuze, Gilles. “These on Movement (First Commentary on Bergson)” and “The Movement-Image  and its Three Varieties (Second Commentary on Bergson).” </w:t>
      </w:r>
      <w:r>
        <w:rPr>
          <w:i/>
          <w:iCs/>
        </w:rPr>
        <w:t>Cinema 1: The Movement-Image</w:t>
      </w:r>
      <w:r>
        <w:t>. Trans. Hugh Tomlinson and Barbara Habberjam. Minneapolis: University of Minnesota Press, 1986. 1–11 and 56–70.</w:t>
      </w:r>
    </w:p>
    <w:p w14:paraId="21B2D802" w14:textId="77777777" w:rsidR="000C1EF0" w:rsidRPr="00972B47" w:rsidRDefault="000C1EF0" w:rsidP="000C1EF0">
      <w:pPr>
        <w:widowControl w:val="0"/>
        <w:tabs>
          <w:tab w:val="left" w:pos="8460"/>
        </w:tabs>
        <w:autoSpaceDE w:val="0"/>
        <w:autoSpaceDN w:val="0"/>
        <w:adjustRightInd w:val="0"/>
        <w:ind w:left="720" w:hanging="720"/>
        <w:jc w:val="both"/>
        <w:rPr>
          <w:rFonts w:asciiTheme="majorBidi" w:hAnsiTheme="majorBidi" w:cstheme="majorBidi"/>
        </w:rPr>
      </w:pPr>
      <w:r w:rsidRPr="00972B47">
        <w:rPr>
          <w:rFonts w:asciiTheme="majorBidi" w:hAnsiTheme="majorBidi" w:cstheme="majorBidi"/>
          <w:rtl/>
        </w:rPr>
        <w:t xml:space="preserve">לוינס, עמנואל. </w:t>
      </w:r>
      <w:r w:rsidRPr="00972B47">
        <w:rPr>
          <w:rFonts w:asciiTheme="majorBidi" w:hAnsiTheme="majorBidi" w:cstheme="majorBidi"/>
          <w:i/>
          <w:iCs/>
          <w:rtl/>
        </w:rPr>
        <w:t>כוליות ואינסוף: מסה על החיצוניות</w:t>
      </w:r>
      <w:r w:rsidRPr="00972B47">
        <w:rPr>
          <w:rFonts w:asciiTheme="majorBidi" w:hAnsiTheme="majorBidi" w:cstheme="majorBidi"/>
          <w:rtl/>
        </w:rPr>
        <w:t>. תרגום: רמה איילון. ירושלים: מאגנס. 153–180.</w:t>
      </w:r>
    </w:p>
    <w:p w14:paraId="65157BF3" w14:textId="77777777" w:rsidR="000C1EF0" w:rsidRPr="00723A84" w:rsidRDefault="000C1EF0" w:rsidP="000C1EF0">
      <w:pPr>
        <w:widowControl w:val="0"/>
        <w:tabs>
          <w:tab w:val="left" w:pos="8460"/>
        </w:tabs>
        <w:autoSpaceDE w:val="0"/>
        <w:autoSpaceDN w:val="0"/>
        <w:bidi w:val="0"/>
        <w:adjustRightInd w:val="0"/>
        <w:ind w:left="720" w:hanging="720"/>
        <w:jc w:val="both"/>
        <w:rPr>
          <w:color w:val="000000"/>
        </w:rPr>
      </w:pPr>
      <w:r w:rsidRPr="000C1EF0">
        <w:t>Sartre</w:t>
      </w:r>
      <w:r w:rsidRPr="00723A84">
        <w:rPr>
          <w:color w:val="000000"/>
        </w:rPr>
        <w:t xml:space="preserve">, Jean-Paul. “Bad Faith.” </w:t>
      </w:r>
      <w:r w:rsidRPr="00723A84">
        <w:rPr>
          <w:i/>
          <w:iCs/>
          <w:color w:val="000000"/>
        </w:rPr>
        <w:t>Being and Nothingness</w:t>
      </w:r>
      <w:r w:rsidRPr="00723A84">
        <w:rPr>
          <w:color w:val="000000"/>
        </w:rPr>
        <w:t>. Trans. Hazel E. Barnes. New York: Washington Square, 1984. 86-116.</w:t>
      </w:r>
    </w:p>
    <w:p w14:paraId="0440F99A" w14:textId="77777777" w:rsidR="000C1EF0" w:rsidRDefault="000C1EF0" w:rsidP="000C1EF0">
      <w:pPr>
        <w:widowControl w:val="0"/>
        <w:tabs>
          <w:tab w:val="left" w:pos="8460"/>
        </w:tabs>
        <w:autoSpaceDE w:val="0"/>
        <w:autoSpaceDN w:val="0"/>
        <w:bidi w:val="0"/>
        <w:adjustRightInd w:val="0"/>
        <w:ind w:left="720" w:hanging="720"/>
        <w:jc w:val="both"/>
        <w:rPr>
          <w:color w:val="000000"/>
        </w:rPr>
      </w:pPr>
      <w:r w:rsidRPr="00436D56">
        <w:rPr>
          <w:color w:val="000000"/>
        </w:rPr>
        <w:t xml:space="preserve">Ahmed, Sara. “Orientations: toward a Queer Phenomenology.” </w:t>
      </w:r>
      <w:r w:rsidRPr="00436D56">
        <w:rPr>
          <w:i/>
          <w:iCs/>
          <w:color w:val="000000"/>
        </w:rPr>
        <w:t>GLQ</w:t>
      </w:r>
      <w:r w:rsidRPr="00436D56">
        <w:rPr>
          <w:color w:val="000000"/>
        </w:rPr>
        <w:t xml:space="preserve"> 12.4 (2006): 543-574.</w:t>
      </w:r>
    </w:p>
    <w:p w14:paraId="4BB43C59" w14:textId="77777777" w:rsidR="000C1EF0" w:rsidRDefault="000C1EF0" w:rsidP="000C1EF0">
      <w:pPr>
        <w:widowControl w:val="0"/>
        <w:tabs>
          <w:tab w:val="left" w:pos="8460"/>
        </w:tabs>
        <w:autoSpaceDE w:val="0"/>
        <w:autoSpaceDN w:val="0"/>
        <w:bidi w:val="0"/>
        <w:adjustRightInd w:val="0"/>
        <w:ind w:left="720" w:hanging="720"/>
        <w:jc w:val="both"/>
        <w:rPr>
          <w:color w:val="000000"/>
        </w:rPr>
      </w:pPr>
      <w:r w:rsidRPr="00436D56">
        <w:rPr>
          <w:color w:val="000000"/>
        </w:rPr>
        <w:t xml:space="preserve">Young, Iris Marion. “Throwing Like a Girl: A Phenomenology of Feminine Body Comportment, Motility and Spatiality." </w:t>
      </w:r>
      <w:r w:rsidRPr="00436D56">
        <w:rPr>
          <w:i/>
          <w:iCs/>
          <w:color w:val="000000"/>
        </w:rPr>
        <w:t>Human Studies</w:t>
      </w:r>
      <w:r w:rsidRPr="00436D56">
        <w:rPr>
          <w:color w:val="000000"/>
        </w:rPr>
        <w:t xml:space="preserve"> 3 (1980): 137-156.</w:t>
      </w:r>
    </w:p>
    <w:p w14:paraId="5C7BED09" w14:textId="77777777" w:rsidR="000C1EF0" w:rsidRDefault="000C1EF0" w:rsidP="000C1EF0">
      <w:pPr>
        <w:widowControl w:val="0"/>
        <w:tabs>
          <w:tab w:val="left" w:pos="8460"/>
        </w:tabs>
        <w:autoSpaceDE w:val="0"/>
        <w:autoSpaceDN w:val="0"/>
        <w:bidi w:val="0"/>
        <w:adjustRightInd w:val="0"/>
        <w:ind w:left="720" w:hanging="720"/>
        <w:jc w:val="both"/>
        <w:rPr>
          <w:rtl/>
        </w:rPr>
      </w:pPr>
    </w:p>
    <w:p w14:paraId="19414FC8" w14:textId="77777777" w:rsidR="000C1EF0" w:rsidRPr="00003F98" w:rsidRDefault="000C1EF0" w:rsidP="000C1EF0">
      <w:pPr>
        <w:widowControl w:val="0"/>
        <w:tabs>
          <w:tab w:val="left" w:pos="8460"/>
        </w:tabs>
        <w:autoSpaceDE w:val="0"/>
        <w:autoSpaceDN w:val="0"/>
        <w:adjustRightInd w:val="0"/>
        <w:ind w:left="720" w:hanging="720"/>
        <w:jc w:val="both"/>
        <w:rPr>
          <w:color w:val="000000"/>
          <w:rtl/>
        </w:rPr>
      </w:pPr>
    </w:p>
    <w:p w14:paraId="799E7981" w14:textId="77777777" w:rsidR="000C1EF0" w:rsidRPr="00337D83" w:rsidRDefault="000C1EF0" w:rsidP="000C1EF0">
      <w:pPr>
        <w:widowControl w:val="0"/>
        <w:tabs>
          <w:tab w:val="left" w:pos="8460"/>
        </w:tabs>
        <w:autoSpaceDE w:val="0"/>
        <w:autoSpaceDN w:val="0"/>
        <w:bidi w:val="0"/>
        <w:adjustRightInd w:val="0"/>
        <w:ind w:left="720" w:hanging="720"/>
        <w:jc w:val="both"/>
        <w:rPr>
          <w:rFonts w:ascii="Calibri" w:hAnsi="Calibri"/>
          <w:color w:val="000000"/>
        </w:rPr>
      </w:pPr>
    </w:p>
    <w:p w14:paraId="4FA83F80" w14:textId="77777777" w:rsidR="000C1EF0" w:rsidRDefault="000C1EF0" w:rsidP="000C1EF0">
      <w:pPr>
        <w:rPr>
          <w:rtl/>
        </w:rPr>
      </w:pPr>
    </w:p>
    <w:p w14:paraId="0498F23D" w14:textId="77777777" w:rsidR="000C1EF0" w:rsidRPr="000C1EF0" w:rsidRDefault="000C1EF0" w:rsidP="000C1EF0">
      <w:pPr>
        <w:widowControl w:val="0"/>
        <w:tabs>
          <w:tab w:val="left" w:pos="8460"/>
        </w:tabs>
        <w:autoSpaceDE w:val="0"/>
        <w:autoSpaceDN w:val="0"/>
        <w:bidi w:val="0"/>
        <w:adjustRightInd w:val="0"/>
        <w:jc w:val="both"/>
        <w:rPr>
          <w:rFonts w:ascii="Arial" w:hAnsi="Arial" w:cs="Arial"/>
          <w:b/>
          <w:bCs/>
          <w:rtl/>
        </w:rPr>
      </w:pPr>
    </w:p>
    <w:p w14:paraId="7A91AE60" w14:textId="77777777" w:rsidR="000C1EF0" w:rsidRDefault="000C1EF0" w:rsidP="000C1EF0">
      <w:pPr>
        <w:widowControl w:val="0"/>
        <w:tabs>
          <w:tab w:val="left" w:pos="8460"/>
        </w:tabs>
        <w:autoSpaceDE w:val="0"/>
        <w:autoSpaceDN w:val="0"/>
        <w:bidi w:val="0"/>
        <w:adjustRightInd w:val="0"/>
        <w:jc w:val="both"/>
        <w:rPr>
          <w:rFonts w:ascii="Arial" w:hAnsi="Arial" w:cs="Arial"/>
          <w:b/>
          <w:bCs/>
        </w:rPr>
      </w:pPr>
    </w:p>
    <w:p w14:paraId="41DB9D20" w14:textId="77777777" w:rsidR="000C1EF0" w:rsidRDefault="000C1EF0" w:rsidP="00143D57">
      <w:pPr>
        <w:widowControl w:val="0"/>
        <w:tabs>
          <w:tab w:val="left" w:pos="8460"/>
        </w:tabs>
        <w:autoSpaceDE w:val="0"/>
        <w:autoSpaceDN w:val="0"/>
        <w:adjustRightInd w:val="0"/>
        <w:jc w:val="both"/>
        <w:rPr>
          <w:rFonts w:ascii="Arial" w:hAnsi="Arial" w:cs="Arial"/>
          <w:b/>
          <w:bCs/>
          <w:rtl/>
        </w:rPr>
      </w:pPr>
      <w:r>
        <w:rPr>
          <w:rFonts w:ascii="Arial" w:hAnsi="Arial" w:cs="Arial"/>
          <w:b/>
          <w:bCs/>
          <w:rtl/>
        </w:rPr>
        <w:tab/>
      </w:r>
    </w:p>
    <w:p w14:paraId="21279F08" w14:textId="77777777" w:rsidR="007F7338" w:rsidRPr="00D706C6" w:rsidRDefault="00542BD9" w:rsidP="00143D57">
      <w:pPr>
        <w:widowControl w:val="0"/>
        <w:tabs>
          <w:tab w:val="left" w:pos="8460"/>
        </w:tabs>
        <w:autoSpaceDE w:val="0"/>
        <w:autoSpaceDN w:val="0"/>
        <w:adjustRightInd w:val="0"/>
        <w:jc w:val="both"/>
        <w:rPr>
          <w:rFonts w:ascii="Arial" w:hAnsi="Arial" w:cs="Arial"/>
          <w:sz w:val="22"/>
          <w:szCs w:val="22"/>
          <w:rtl/>
        </w:rPr>
      </w:pPr>
      <w:r>
        <w:rPr>
          <w:rFonts w:ascii="Arial" w:hAnsi="Arial" w:cs="Arial" w:hint="cs"/>
          <w:b/>
          <w:bCs/>
          <w:rtl/>
        </w:rPr>
        <w:t xml:space="preserve">קריאה נוספת </w:t>
      </w:r>
      <w:r w:rsidR="007F7338" w:rsidRPr="00C80B74">
        <w:rPr>
          <w:rFonts w:ascii="Arial" w:hAnsi="Arial" w:cs="Arial"/>
          <w:b/>
          <w:bCs/>
          <w:rtl/>
        </w:rPr>
        <w:t>(נתון לשינויים)</w:t>
      </w:r>
      <w:r w:rsidR="007F7338" w:rsidRPr="00C80B74">
        <w:rPr>
          <w:rFonts w:ascii="Arial" w:hAnsi="Arial" w:cs="Arial"/>
          <w:rtl/>
        </w:rPr>
        <w:t xml:space="preserve">  </w:t>
      </w:r>
    </w:p>
    <w:p w14:paraId="080CB78C" w14:textId="77777777" w:rsidR="00B850BC" w:rsidRPr="00B850BC" w:rsidRDefault="00B850BC" w:rsidP="00143D57">
      <w:pPr>
        <w:bidi w:val="0"/>
        <w:ind w:left="720" w:hanging="720"/>
        <w:rPr>
          <w:color w:val="000000"/>
          <w:sz w:val="22"/>
          <w:szCs w:val="22"/>
        </w:rPr>
      </w:pPr>
    </w:p>
    <w:p w14:paraId="6AEA2DD4"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Ahmed, Sara.</w:t>
      </w:r>
      <w:r w:rsidRPr="00B850BC">
        <w:rPr>
          <w:color w:val="000000"/>
          <w:sz w:val="22"/>
          <w:szCs w:val="22"/>
        </w:rPr>
        <w:t> </w:t>
      </w:r>
      <w:r w:rsidRPr="00AA363B">
        <w:rPr>
          <w:i/>
          <w:iCs/>
          <w:color w:val="000000"/>
          <w:sz w:val="22"/>
          <w:szCs w:val="22"/>
        </w:rPr>
        <w:t>Queer Phenomenology: Orientations, Objects, Others</w:t>
      </w:r>
      <w:r w:rsidRPr="00AA363B">
        <w:rPr>
          <w:color w:val="000000"/>
          <w:sz w:val="22"/>
          <w:szCs w:val="22"/>
        </w:rPr>
        <w:t>. Durham and London: Duke University Press, 2006.</w:t>
      </w:r>
    </w:p>
    <w:p w14:paraId="34ED1228"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Andrew, Dudley. “Contemporary French Film Theory” and “The Challenge of Phenomenology: Amédée Ayfre and Henri Agel.”</w:t>
      </w:r>
      <w:r w:rsidRPr="00B850BC">
        <w:rPr>
          <w:color w:val="000000"/>
          <w:sz w:val="22"/>
          <w:szCs w:val="22"/>
        </w:rPr>
        <w:t> </w:t>
      </w:r>
      <w:r w:rsidRPr="00AA363B">
        <w:rPr>
          <w:i/>
          <w:iCs/>
          <w:color w:val="000000"/>
          <w:sz w:val="22"/>
          <w:szCs w:val="22"/>
        </w:rPr>
        <w:t>The Major Film Theories: An Introduction</w:t>
      </w:r>
      <w:r w:rsidRPr="00AA363B">
        <w:rPr>
          <w:color w:val="000000"/>
          <w:sz w:val="22"/>
          <w:szCs w:val="22"/>
        </w:rPr>
        <w:t>. London, Oxford and New York: Oxford University Press. 179-184 and 242-253.</w:t>
      </w:r>
    </w:p>
    <w:p w14:paraId="05DE50FE" w14:textId="77777777" w:rsidR="00B850BC" w:rsidRPr="00B850BC" w:rsidRDefault="00B850BC" w:rsidP="00143D57">
      <w:pPr>
        <w:pStyle w:val="a5"/>
        <w:ind w:left="720" w:hanging="720"/>
        <w:rPr>
          <w:sz w:val="22"/>
          <w:szCs w:val="22"/>
          <w:lang w:val="en-GB"/>
        </w:rPr>
      </w:pPr>
      <w:r w:rsidRPr="00B850BC">
        <w:rPr>
          <w:sz w:val="22"/>
          <w:szCs w:val="22"/>
          <w:lang w:val="en-GB"/>
        </w:rPr>
        <w:t xml:space="preserve">Ayfre, Amédée. “Du premier au second néo-réalisme.” </w:t>
      </w:r>
      <w:r w:rsidRPr="00B850BC">
        <w:rPr>
          <w:i/>
          <w:iCs/>
          <w:sz w:val="22"/>
          <w:szCs w:val="22"/>
          <w:lang w:val="en-GB"/>
        </w:rPr>
        <w:t>Études Cinématographiques</w:t>
      </w:r>
      <w:r w:rsidRPr="00B850BC">
        <w:rPr>
          <w:sz w:val="22"/>
          <w:szCs w:val="22"/>
          <w:lang w:val="en-GB"/>
        </w:rPr>
        <w:t xml:space="preserve"> nos. 32–35 (1964): 55–72.</w:t>
      </w:r>
    </w:p>
    <w:p w14:paraId="3CD5C630"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Barker, Jennifer M.</w:t>
      </w:r>
      <w:r w:rsidRPr="00B850BC">
        <w:rPr>
          <w:color w:val="000000"/>
          <w:sz w:val="22"/>
          <w:szCs w:val="22"/>
        </w:rPr>
        <w:t> </w:t>
      </w:r>
      <w:r w:rsidRPr="00AA363B">
        <w:rPr>
          <w:i/>
          <w:iCs/>
          <w:color w:val="000000"/>
          <w:sz w:val="22"/>
          <w:szCs w:val="22"/>
        </w:rPr>
        <w:t>The Tactile Eye: Touch and the Cinematic Experience</w:t>
      </w:r>
      <w:r w:rsidRPr="00AA363B">
        <w:rPr>
          <w:color w:val="000000"/>
          <w:sz w:val="22"/>
          <w:szCs w:val="22"/>
        </w:rPr>
        <w:t>. Berkeley, Los Angeles, and London: University of California Press, 2009.</w:t>
      </w:r>
    </w:p>
    <w:p w14:paraId="7020F5D4" w14:textId="77777777" w:rsidR="000C1EF0" w:rsidRDefault="00B850BC" w:rsidP="000C1EF0">
      <w:pPr>
        <w:bidi w:val="0"/>
        <w:ind w:left="720" w:hanging="720"/>
        <w:rPr>
          <w:rFonts w:ascii="Calibri" w:hAnsi="Calibri" w:cs="Calibri"/>
          <w:color w:val="000000"/>
          <w:sz w:val="22"/>
          <w:szCs w:val="22"/>
          <w:rtl/>
        </w:rPr>
      </w:pPr>
      <w:r w:rsidRPr="00AA363B">
        <w:rPr>
          <w:color w:val="000000"/>
          <w:sz w:val="22"/>
          <w:szCs w:val="22"/>
        </w:rPr>
        <w:t>Bazin, André.</w:t>
      </w:r>
      <w:r w:rsidRPr="00B850BC">
        <w:rPr>
          <w:color w:val="000000"/>
          <w:sz w:val="22"/>
          <w:szCs w:val="22"/>
        </w:rPr>
        <w:t> </w:t>
      </w:r>
      <w:r w:rsidRPr="00AA363B">
        <w:rPr>
          <w:i/>
          <w:iCs/>
          <w:color w:val="000000"/>
          <w:sz w:val="22"/>
          <w:szCs w:val="22"/>
        </w:rPr>
        <w:t>What is Cinema?</w:t>
      </w:r>
      <w:r w:rsidRPr="00B850BC">
        <w:rPr>
          <w:color w:val="000000"/>
          <w:sz w:val="22"/>
          <w:szCs w:val="22"/>
        </w:rPr>
        <w:t> </w:t>
      </w:r>
      <w:r w:rsidRPr="00AA363B">
        <w:rPr>
          <w:color w:val="000000"/>
          <w:sz w:val="22"/>
          <w:szCs w:val="22"/>
        </w:rPr>
        <w:t>Vol. 1 + 2. Trans. Hugh Gray. Berkeley, Los Angeles, and London: University of California Press, 1970-1971.</w:t>
      </w:r>
    </w:p>
    <w:p w14:paraId="3B83B06A" w14:textId="77777777" w:rsidR="00B850BC" w:rsidRPr="00AA363B" w:rsidRDefault="00B850BC" w:rsidP="000C1EF0">
      <w:pPr>
        <w:bidi w:val="0"/>
        <w:ind w:left="720" w:hanging="720"/>
        <w:rPr>
          <w:rFonts w:ascii="Calibri" w:hAnsi="Calibri" w:cs="Calibri"/>
          <w:color w:val="000000"/>
          <w:sz w:val="22"/>
          <w:szCs w:val="22"/>
          <w:rtl/>
        </w:rPr>
      </w:pPr>
      <w:r w:rsidRPr="00AA363B">
        <w:rPr>
          <w:color w:val="000000"/>
          <w:sz w:val="22"/>
          <w:szCs w:val="22"/>
        </w:rPr>
        <w:t>Benjamin, Walter. “On Some Motifs in Baudelaire.” Trans. Harry Zohn.</w:t>
      </w:r>
      <w:r w:rsidRPr="00B850BC">
        <w:rPr>
          <w:color w:val="000000"/>
          <w:sz w:val="22"/>
          <w:szCs w:val="22"/>
        </w:rPr>
        <w:t> </w:t>
      </w:r>
      <w:r w:rsidRPr="00AA363B">
        <w:rPr>
          <w:i/>
          <w:iCs/>
          <w:color w:val="000000"/>
          <w:sz w:val="22"/>
          <w:szCs w:val="22"/>
        </w:rPr>
        <w:t>Selected Writings</w:t>
      </w:r>
      <w:r w:rsidRPr="00AA363B">
        <w:rPr>
          <w:color w:val="000000"/>
          <w:sz w:val="22"/>
          <w:szCs w:val="22"/>
        </w:rPr>
        <w:t>. Vol. 4. Eds. Howard Eiland and Michael W. Jennings. Cambridge and London: Belknap Press of Harvard U P, 2003. 313-355.</w:t>
      </w:r>
    </w:p>
    <w:p w14:paraId="4613A9A6"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Benjamin, Walter. “The Work of Art in the Age of Its Technological Reproducibility.” Second Version. Trans. Edmund Jephcott and Harry Zohn.</w:t>
      </w:r>
      <w:r w:rsidRPr="00B850BC">
        <w:rPr>
          <w:color w:val="000000"/>
          <w:sz w:val="22"/>
          <w:szCs w:val="22"/>
        </w:rPr>
        <w:t> </w:t>
      </w:r>
      <w:r w:rsidRPr="00AA363B">
        <w:rPr>
          <w:i/>
          <w:iCs/>
          <w:color w:val="000000"/>
          <w:sz w:val="22"/>
          <w:szCs w:val="22"/>
        </w:rPr>
        <w:t>Selected Writings</w:t>
      </w:r>
      <w:r w:rsidRPr="00AA363B">
        <w:rPr>
          <w:color w:val="000000"/>
          <w:sz w:val="22"/>
          <w:szCs w:val="22"/>
        </w:rPr>
        <w:t>. Vol. 3. Eds. Howard Eiland and Michael W. Jennings. Cambridge and London: Belknap Press of Harvard U P, 2002. 101–133.</w:t>
      </w:r>
      <w:r w:rsidRPr="00B850BC">
        <w:rPr>
          <w:color w:val="000000"/>
          <w:sz w:val="22"/>
          <w:szCs w:val="22"/>
        </w:rPr>
        <w:t> </w:t>
      </w:r>
    </w:p>
    <w:p w14:paraId="7B6028A8" w14:textId="77777777" w:rsidR="00B850BC" w:rsidRPr="00B850BC" w:rsidRDefault="00B850BC" w:rsidP="00143D57">
      <w:pPr>
        <w:pStyle w:val="a5"/>
        <w:ind w:left="720" w:hanging="720"/>
        <w:rPr>
          <w:sz w:val="22"/>
          <w:szCs w:val="22"/>
          <w:lang w:val="en-GB"/>
        </w:rPr>
      </w:pPr>
      <w:r w:rsidRPr="00B850BC">
        <w:rPr>
          <w:sz w:val="22"/>
          <w:szCs w:val="22"/>
          <w:lang w:val="en-GB"/>
        </w:rPr>
        <w:t xml:space="preserve">Carroll, Noël. “Film/Mind Analogies: The Case of Hugo Munsterberg.” </w:t>
      </w:r>
      <w:r w:rsidRPr="00B850BC">
        <w:rPr>
          <w:i/>
          <w:iCs/>
          <w:sz w:val="22"/>
          <w:szCs w:val="22"/>
          <w:lang w:val="en-GB"/>
        </w:rPr>
        <w:t>The Journal of Aesthetics and Art Criticism</w:t>
      </w:r>
      <w:r w:rsidRPr="00B850BC">
        <w:rPr>
          <w:sz w:val="22"/>
          <w:szCs w:val="22"/>
          <w:lang w:val="en-GB"/>
        </w:rPr>
        <w:t xml:space="preserve"> 46.4 (1988): 489–499. </w:t>
      </w:r>
    </w:p>
    <w:p w14:paraId="3304AFB1"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Casebier, Allan.</w:t>
      </w:r>
      <w:r w:rsidRPr="00B850BC">
        <w:rPr>
          <w:color w:val="000000"/>
          <w:sz w:val="22"/>
          <w:szCs w:val="22"/>
        </w:rPr>
        <w:t> </w:t>
      </w:r>
      <w:r w:rsidRPr="00AA363B">
        <w:rPr>
          <w:i/>
          <w:iCs/>
          <w:color w:val="000000"/>
          <w:sz w:val="22"/>
          <w:szCs w:val="22"/>
        </w:rPr>
        <w:t>Film and Phenomenology: Toward a Realist Theory of Cinematic Representation</w:t>
      </w:r>
      <w:r w:rsidRPr="00AA363B">
        <w:rPr>
          <w:color w:val="000000"/>
          <w:sz w:val="22"/>
          <w:szCs w:val="22"/>
        </w:rPr>
        <w:t>. Cambridge: Cambridge UP, 1991.</w:t>
      </w:r>
    </w:p>
    <w:p w14:paraId="55D4DA1D" w14:textId="77777777" w:rsidR="00B850BC" w:rsidRPr="00B850BC" w:rsidRDefault="00B850BC" w:rsidP="00143D57">
      <w:pPr>
        <w:pStyle w:val="a5"/>
        <w:ind w:left="720" w:hanging="720"/>
        <w:rPr>
          <w:sz w:val="22"/>
          <w:szCs w:val="22"/>
          <w:lang w:val="en-GB"/>
        </w:rPr>
      </w:pPr>
      <w:r w:rsidRPr="00B850BC">
        <w:rPr>
          <w:sz w:val="22"/>
          <w:szCs w:val="22"/>
          <w:lang w:val="en-GB"/>
        </w:rPr>
        <w:t xml:space="preserve">Chateau, Dominique. </w:t>
      </w:r>
      <w:r w:rsidRPr="00B850BC">
        <w:rPr>
          <w:i/>
          <w:iCs/>
          <w:sz w:val="22"/>
          <w:szCs w:val="22"/>
          <w:lang w:val="en-GB"/>
        </w:rPr>
        <w:t>Philosophies du cinema</w:t>
      </w:r>
      <w:r w:rsidRPr="00B850BC">
        <w:rPr>
          <w:sz w:val="22"/>
          <w:szCs w:val="22"/>
          <w:lang w:val="en-GB"/>
        </w:rPr>
        <w:t>. 2nd ed. Paris: Armand Colin, 2010.</w:t>
      </w:r>
    </w:p>
    <w:p w14:paraId="61C068F1" w14:textId="77777777" w:rsidR="00B850BC" w:rsidRPr="00B850BC" w:rsidRDefault="00B850BC" w:rsidP="00143D57">
      <w:pPr>
        <w:pStyle w:val="a5"/>
        <w:ind w:left="720" w:hanging="720"/>
        <w:rPr>
          <w:sz w:val="22"/>
          <w:szCs w:val="22"/>
          <w:lang w:val="en-GB"/>
        </w:rPr>
      </w:pPr>
      <w:r w:rsidRPr="00B850BC">
        <w:rPr>
          <w:sz w:val="22"/>
          <w:szCs w:val="22"/>
          <w:lang w:val="en-GB"/>
        </w:rPr>
        <w:t xml:space="preserve">Colebrook, Claire. </w:t>
      </w:r>
      <w:r w:rsidRPr="00B850BC">
        <w:rPr>
          <w:i/>
          <w:iCs/>
          <w:sz w:val="22"/>
          <w:szCs w:val="22"/>
          <w:lang w:val="en-GB"/>
        </w:rPr>
        <w:t>Gilles Deleuze</w:t>
      </w:r>
      <w:r w:rsidRPr="00B850BC">
        <w:rPr>
          <w:sz w:val="22"/>
          <w:szCs w:val="22"/>
          <w:lang w:val="en-GB"/>
        </w:rPr>
        <w:t>. London: Routledge, 2002.</w:t>
      </w:r>
    </w:p>
    <w:p w14:paraId="2D86E0A9" w14:textId="77777777" w:rsidR="00B850BC" w:rsidRPr="00B850BC" w:rsidRDefault="00B850BC" w:rsidP="00143D57">
      <w:pPr>
        <w:bidi w:val="0"/>
        <w:ind w:left="720" w:hanging="720"/>
        <w:rPr>
          <w:sz w:val="22"/>
          <w:szCs w:val="22"/>
          <w:lang w:val="en-GB"/>
        </w:rPr>
      </w:pPr>
      <w:r w:rsidRPr="00B850BC">
        <w:rPr>
          <w:sz w:val="22"/>
          <w:szCs w:val="22"/>
          <w:lang w:val="en-GB"/>
        </w:rPr>
        <w:t xml:space="preserve">Daly, Kristen. “Cinema 3.0: The Interactive-Image.” </w:t>
      </w:r>
      <w:r w:rsidRPr="00B850BC">
        <w:rPr>
          <w:i/>
          <w:iCs/>
          <w:sz w:val="22"/>
          <w:szCs w:val="22"/>
          <w:lang w:val="en-GB"/>
        </w:rPr>
        <w:t>Cinema Journal</w:t>
      </w:r>
      <w:r w:rsidRPr="00B850BC">
        <w:rPr>
          <w:sz w:val="22"/>
          <w:szCs w:val="22"/>
          <w:lang w:val="en-GB"/>
        </w:rPr>
        <w:t xml:space="preserve"> 50.1 (2010): 81–98.</w:t>
      </w:r>
    </w:p>
    <w:p w14:paraId="2A657795" w14:textId="77777777" w:rsidR="00B850BC" w:rsidRPr="00B850BC" w:rsidRDefault="00B850BC" w:rsidP="00143D57">
      <w:pPr>
        <w:bidi w:val="0"/>
        <w:ind w:left="720" w:hanging="720"/>
        <w:rPr>
          <w:color w:val="000000"/>
          <w:sz w:val="22"/>
          <w:szCs w:val="22"/>
        </w:rPr>
      </w:pPr>
      <w:r w:rsidRPr="00B850BC">
        <w:rPr>
          <w:color w:val="000000"/>
          <w:sz w:val="22"/>
          <w:szCs w:val="22"/>
        </w:rPr>
        <w:t xml:space="preserve">Deleuze, Gilles. </w:t>
      </w:r>
      <w:r w:rsidRPr="00B850BC">
        <w:rPr>
          <w:i/>
          <w:iCs/>
          <w:color w:val="000000"/>
          <w:sz w:val="22"/>
          <w:szCs w:val="22"/>
        </w:rPr>
        <w:t>Cinema 1: The Movement-Image</w:t>
      </w:r>
      <w:r w:rsidRPr="00B850BC">
        <w:rPr>
          <w:color w:val="000000"/>
          <w:sz w:val="22"/>
          <w:szCs w:val="22"/>
        </w:rPr>
        <w:t>. Trans. Hugh Tomlinson and Barbara Habberjam. Minneapolis: University of Minnesota Press, 1986.</w:t>
      </w:r>
    </w:p>
    <w:p w14:paraId="11A94DD9"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Deleuze, Gilles.</w:t>
      </w:r>
      <w:r w:rsidRPr="00B850BC">
        <w:rPr>
          <w:color w:val="000000"/>
          <w:sz w:val="22"/>
          <w:szCs w:val="22"/>
        </w:rPr>
        <w:t> </w:t>
      </w:r>
      <w:r w:rsidRPr="00AA363B">
        <w:rPr>
          <w:i/>
          <w:iCs/>
          <w:color w:val="000000"/>
          <w:sz w:val="22"/>
          <w:szCs w:val="22"/>
        </w:rPr>
        <w:t>Cinema 2: The Time-Image</w:t>
      </w:r>
      <w:r w:rsidRPr="00AA363B">
        <w:rPr>
          <w:color w:val="000000"/>
          <w:sz w:val="22"/>
          <w:szCs w:val="22"/>
        </w:rPr>
        <w:t>. Trans. Hugh Tomlinson and Robert Galeta. Minneapolis: University of Minnesota Press, 1989.</w:t>
      </w:r>
    </w:p>
    <w:p w14:paraId="271C3295" w14:textId="77777777" w:rsidR="00B850BC" w:rsidRPr="00B850BC" w:rsidRDefault="00B850BC" w:rsidP="00143D57">
      <w:pPr>
        <w:bidi w:val="0"/>
        <w:ind w:left="720" w:hanging="720"/>
        <w:rPr>
          <w:color w:val="000000"/>
          <w:sz w:val="22"/>
          <w:szCs w:val="22"/>
        </w:rPr>
      </w:pPr>
      <w:r w:rsidRPr="00AA363B">
        <w:rPr>
          <w:color w:val="000000"/>
          <w:sz w:val="22"/>
          <w:szCs w:val="22"/>
        </w:rPr>
        <w:t>Doane, Mary Ann. “Temporality, Storage, Legibility: Freud, Marey, and the Cinema.”</w:t>
      </w:r>
      <w:r w:rsidRPr="00B850BC">
        <w:rPr>
          <w:color w:val="000000"/>
          <w:sz w:val="22"/>
          <w:szCs w:val="22"/>
        </w:rPr>
        <w:t> </w:t>
      </w:r>
      <w:r w:rsidRPr="00AA363B">
        <w:rPr>
          <w:i/>
          <w:iCs/>
          <w:color w:val="000000"/>
          <w:sz w:val="22"/>
          <w:szCs w:val="22"/>
        </w:rPr>
        <w:t>Critical Inquiry</w:t>
      </w:r>
      <w:r w:rsidRPr="00B850BC">
        <w:rPr>
          <w:color w:val="000000"/>
          <w:sz w:val="22"/>
          <w:szCs w:val="22"/>
        </w:rPr>
        <w:t> </w:t>
      </w:r>
      <w:r w:rsidRPr="00AA363B">
        <w:rPr>
          <w:color w:val="000000"/>
          <w:sz w:val="22"/>
          <w:szCs w:val="22"/>
        </w:rPr>
        <w:t>22. 2 (Winter 1996): 313–343.</w:t>
      </w:r>
    </w:p>
    <w:p w14:paraId="7FCD532B" w14:textId="77777777" w:rsidR="00B850BC" w:rsidRPr="00B850BC" w:rsidRDefault="00B850BC" w:rsidP="00143D57">
      <w:pPr>
        <w:pStyle w:val="a5"/>
        <w:ind w:left="720" w:hanging="720"/>
        <w:rPr>
          <w:sz w:val="22"/>
          <w:szCs w:val="22"/>
          <w:lang w:val="en-GB"/>
        </w:rPr>
      </w:pPr>
      <w:r w:rsidRPr="00B850BC">
        <w:rPr>
          <w:sz w:val="22"/>
          <w:szCs w:val="22"/>
          <w:lang w:val="en-GB"/>
        </w:rPr>
        <w:t xml:space="preserve">Dufrenne, Mikel. </w:t>
      </w:r>
      <w:r w:rsidRPr="00B850BC">
        <w:rPr>
          <w:i/>
          <w:iCs/>
          <w:sz w:val="22"/>
          <w:szCs w:val="22"/>
          <w:lang w:val="en-GB"/>
        </w:rPr>
        <w:t>The Phenomenology of Aesthetic Experience</w:t>
      </w:r>
      <w:r w:rsidRPr="00B850BC">
        <w:rPr>
          <w:sz w:val="22"/>
          <w:szCs w:val="22"/>
          <w:lang w:val="en-GB"/>
        </w:rPr>
        <w:t>. Trans. Edward S. Casey, Albert A. Anderson, Willis Domingo, and Leon Jacobson. Evanston: Northwestern University Press, 1973.</w:t>
      </w:r>
    </w:p>
    <w:p w14:paraId="02FC9F0C"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Elsaesser, Thomas and Malte Hagener.</w:t>
      </w:r>
      <w:r w:rsidRPr="00B850BC">
        <w:rPr>
          <w:color w:val="000000"/>
          <w:sz w:val="22"/>
          <w:szCs w:val="22"/>
        </w:rPr>
        <w:t> </w:t>
      </w:r>
      <w:r w:rsidRPr="00AA363B">
        <w:rPr>
          <w:i/>
          <w:iCs/>
          <w:color w:val="000000"/>
          <w:sz w:val="22"/>
          <w:szCs w:val="22"/>
        </w:rPr>
        <w:t>Film Theory: An Introduction through the Senses</w:t>
      </w:r>
      <w:r w:rsidRPr="00AA363B">
        <w:rPr>
          <w:color w:val="000000"/>
          <w:sz w:val="22"/>
          <w:szCs w:val="22"/>
        </w:rPr>
        <w:t>. New York and London: Routledge, 2010.</w:t>
      </w:r>
    </w:p>
    <w:p w14:paraId="306E3DBE" w14:textId="77777777" w:rsidR="00B850BC" w:rsidRPr="00B850BC" w:rsidRDefault="00B850BC" w:rsidP="00143D57">
      <w:pPr>
        <w:pStyle w:val="a5"/>
        <w:ind w:left="720" w:hanging="720"/>
        <w:rPr>
          <w:sz w:val="22"/>
          <w:szCs w:val="22"/>
          <w:lang w:val="en-GB"/>
        </w:rPr>
      </w:pPr>
      <w:r w:rsidRPr="00B850BC">
        <w:rPr>
          <w:sz w:val="22"/>
          <w:szCs w:val="22"/>
          <w:lang w:val="en-GB"/>
        </w:rPr>
        <w:t xml:space="preserve">Guillemet, Julien. “The ‘New Wave’ of French Phenomenology and Cinema: New Concepts for the Cinematic Experience.” </w:t>
      </w:r>
      <w:r w:rsidRPr="00B850BC">
        <w:rPr>
          <w:i/>
          <w:iCs/>
          <w:sz w:val="22"/>
          <w:szCs w:val="22"/>
          <w:lang w:val="en-GB"/>
        </w:rPr>
        <w:t>New Review of Film and Television Studies</w:t>
      </w:r>
      <w:r w:rsidRPr="00B850BC">
        <w:rPr>
          <w:sz w:val="22"/>
          <w:szCs w:val="22"/>
          <w:lang w:val="en-GB"/>
        </w:rPr>
        <w:t xml:space="preserve"> 8.1 (2010): 94–114.</w:t>
      </w:r>
    </w:p>
    <w:p w14:paraId="10436637" w14:textId="77777777" w:rsidR="00B850BC" w:rsidRPr="00B850BC" w:rsidRDefault="00B850BC" w:rsidP="00143D57">
      <w:pPr>
        <w:bidi w:val="0"/>
        <w:ind w:left="720" w:hanging="720"/>
        <w:rPr>
          <w:color w:val="000000"/>
          <w:sz w:val="22"/>
          <w:szCs w:val="22"/>
        </w:rPr>
      </w:pPr>
      <w:r w:rsidRPr="00B850BC">
        <w:rPr>
          <w:color w:val="000000"/>
          <w:sz w:val="22"/>
          <w:szCs w:val="22"/>
        </w:rPr>
        <w:t>Hansen, Miriam Bratu. “Room-for-Play: Benjamin’s Gamble with Cinema.”</w:t>
      </w:r>
      <w:r w:rsidRPr="00B850BC">
        <w:rPr>
          <w:rStyle w:val="apple-converted-space"/>
          <w:color w:val="000000"/>
          <w:sz w:val="22"/>
          <w:szCs w:val="22"/>
        </w:rPr>
        <w:t> </w:t>
      </w:r>
      <w:r w:rsidRPr="00B850BC">
        <w:rPr>
          <w:i/>
          <w:iCs/>
          <w:color w:val="000000"/>
          <w:sz w:val="22"/>
          <w:szCs w:val="22"/>
        </w:rPr>
        <w:t>October</w:t>
      </w:r>
      <w:r w:rsidRPr="00B850BC">
        <w:rPr>
          <w:rStyle w:val="apple-converted-space"/>
          <w:color w:val="000000"/>
          <w:sz w:val="22"/>
          <w:szCs w:val="22"/>
        </w:rPr>
        <w:t> </w:t>
      </w:r>
      <w:r w:rsidRPr="00B850BC">
        <w:rPr>
          <w:color w:val="000000"/>
          <w:sz w:val="22"/>
          <w:szCs w:val="22"/>
        </w:rPr>
        <w:t>109 (Summer 2004): 3–45.</w:t>
      </w:r>
    </w:p>
    <w:p w14:paraId="04B4FB57" w14:textId="77777777" w:rsidR="00B850BC" w:rsidRPr="00B850BC" w:rsidRDefault="00B850BC" w:rsidP="00143D57">
      <w:pPr>
        <w:bidi w:val="0"/>
        <w:ind w:left="720" w:hanging="720"/>
        <w:rPr>
          <w:sz w:val="22"/>
          <w:szCs w:val="22"/>
          <w:lang w:val="en-GB"/>
        </w:rPr>
      </w:pPr>
      <w:r w:rsidRPr="00B850BC">
        <w:rPr>
          <w:sz w:val="22"/>
          <w:szCs w:val="22"/>
          <w:lang w:val="en-GB"/>
        </w:rPr>
        <w:lastRenderedPageBreak/>
        <w:t xml:space="preserve">Hughes, Joe. “Schizoanalysis and the Phenomenology of Cinema.” </w:t>
      </w:r>
      <w:r w:rsidRPr="00B850BC">
        <w:rPr>
          <w:i/>
          <w:iCs/>
          <w:sz w:val="22"/>
          <w:szCs w:val="22"/>
          <w:lang w:val="en-GB"/>
        </w:rPr>
        <w:t>Deleuze and the Schizoanalysis of Cinema</w:t>
      </w:r>
      <w:r w:rsidRPr="00B850BC">
        <w:rPr>
          <w:sz w:val="22"/>
          <w:szCs w:val="22"/>
          <w:lang w:val="en-GB"/>
        </w:rPr>
        <w:t>. Ed. Ian Buchanan and Patricia MacCormack. London: Continuum, 2008. 15–26.</w:t>
      </w:r>
    </w:p>
    <w:p w14:paraId="2E1AE44A" w14:textId="77777777" w:rsidR="00B850BC" w:rsidRPr="00B850BC" w:rsidRDefault="00B850BC" w:rsidP="00143D57">
      <w:pPr>
        <w:pStyle w:val="a5"/>
        <w:ind w:left="720" w:hanging="720"/>
        <w:rPr>
          <w:sz w:val="22"/>
          <w:szCs w:val="22"/>
          <w:lang w:val="en-GB"/>
        </w:rPr>
      </w:pPr>
      <w:r w:rsidRPr="00B850BC">
        <w:rPr>
          <w:sz w:val="22"/>
          <w:szCs w:val="22"/>
          <w:lang w:val="en-GB"/>
        </w:rPr>
        <w:t xml:space="preserve">Laffay, Albert. </w:t>
      </w:r>
      <w:r w:rsidRPr="00B850BC">
        <w:rPr>
          <w:i/>
          <w:iCs/>
          <w:sz w:val="22"/>
          <w:szCs w:val="22"/>
          <w:lang w:val="en-GB"/>
        </w:rPr>
        <w:t>Logique du cinéma: Création et spectacle</w:t>
      </w:r>
      <w:r w:rsidRPr="00B850BC">
        <w:rPr>
          <w:sz w:val="22"/>
          <w:szCs w:val="22"/>
          <w:lang w:val="en-GB"/>
        </w:rPr>
        <w:t>. Paris: Masson, 1964.</w:t>
      </w:r>
    </w:p>
    <w:p w14:paraId="58B4C0C0"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Marks, Laura U.</w:t>
      </w:r>
      <w:r w:rsidRPr="00B850BC">
        <w:rPr>
          <w:color w:val="000000"/>
          <w:sz w:val="22"/>
          <w:szCs w:val="22"/>
        </w:rPr>
        <w:t> </w:t>
      </w:r>
      <w:r w:rsidRPr="00AA363B">
        <w:rPr>
          <w:i/>
          <w:iCs/>
          <w:color w:val="000000"/>
          <w:sz w:val="22"/>
          <w:szCs w:val="22"/>
        </w:rPr>
        <w:t>Touch: Sensuous Theory and Multisensory Media</w:t>
      </w:r>
      <w:r w:rsidRPr="00AA363B">
        <w:rPr>
          <w:color w:val="000000"/>
          <w:sz w:val="22"/>
          <w:szCs w:val="22"/>
        </w:rPr>
        <w:t>. Minneapolis: University of Minnesota Press, 2002.</w:t>
      </w:r>
    </w:p>
    <w:p w14:paraId="295365BC" w14:textId="77777777" w:rsidR="00B850BC" w:rsidRPr="00B850BC" w:rsidRDefault="00B850BC" w:rsidP="00143D57">
      <w:pPr>
        <w:pStyle w:val="a5"/>
        <w:ind w:left="720" w:hanging="720"/>
        <w:rPr>
          <w:sz w:val="22"/>
          <w:szCs w:val="22"/>
          <w:lang w:val="en-GB"/>
        </w:rPr>
      </w:pPr>
      <w:r w:rsidRPr="00B850BC">
        <w:rPr>
          <w:sz w:val="22"/>
          <w:szCs w:val="22"/>
          <w:lang w:val="en-GB"/>
        </w:rPr>
        <w:t xml:space="preserve">Marrati, Paola. </w:t>
      </w:r>
      <w:r w:rsidRPr="00B850BC">
        <w:rPr>
          <w:i/>
          <w:iCs/>
          <w:sz w:val="22"/>
          <w:szCs w:val="22"/>
          <w:lang w:val="en-GB"/>
        </w:rPr>
        <w:t>Gilles Deleuze: Cinema and Philosophy</w:t>
      </w:r>
      <w:r w:rsidRPr="00B850BC">
        <w:rPr>
          <w:sz w:val="22"/>
          <w:szCs w:val="22"/>
          <w:lang w:val="en-GB"/>
        </w:rPr>
        <w:t>. Trans. Alisa Hartz. Baltimore: The Johns Hopkins University Press, 2008.</w:t>
      </w:r>
    </w:p>
    <w:p w14:paraId="7F72AAEB"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Merleau-Ponty, Maurice. “The Film and the New Psychology”.</w:t>
      </w:r>
      <w:r w:rsidRPr="00B850BC">
        <w:rPr>
          <w:color w:val="000000"/>
          <w:sz w:val="22"/>
          <w:szCs w:val="22"/>
        </w:rPr>
        <w:t> </w:t>
      </w:r>
      <w:r w:rsidRPr="00AA363B">
        <w:rPr>
          <w:i/>
          <w:iCs/>
          <w:color w:val="000000"/>
          <w:sz w:val="22"/>
          <w:szCs w:val="22"/>
        </w:rPr>
        <w:t>Sense and Non-Sense</w:t>
      </w:r>
      <w:r w:rsidRPr="00AA363B">
        <w:rPr>
          <w:color w:val="000000"/>
          <w:sz w:val="22"/>
          <w:szCs w:val="22"/>
        </w:rPr>
        <w:t>. Trans. Hubert L. Dreyfus and Patricia Allen Dreyfus. Northwestern University Press, 1964. 48-59.</w:t>
      </w:r>
    </w:p>
    <w:p w14:paraId="6D140077"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Moran, Dermot. Editor’s Introduction.</w:t>
      </w:r>
      <w:r w:rsidRPr="00B850BC">
        <w:rPr>
          <w:color w:val="000000"/>
          <w:sz w:val="22"/>
          <w:szCs w:val="22"/>
        </w:rPr>
        <w:t> </w:t>
      </w:r>
      <w:r w:rsidRPr="00AA363B">
        <w:rPr>
          <w:i/>
          <w:iCs/>
          <w:color w:val="000000"/>
          <w:sz w:val="22"/>
          <w:szCs w:val="22"/>
        </w:rPr>
        <w:t>The  Phenomenology Reader</w:t>
      </w:r>
      <w:r w:rsidRPr="00AA363B">
        <w:rPr>
          <w:color w:val="000000"/>
          <w:sz w:val="22"/>
          <w:szCs w:val="22"/>
        </w:rPr>
        <w:t>. London and New York: Routledge, 2002. 1-26.</w:t>
      </w:r>
    </w:p>
    <w:p w14:paraId="3362C241" w14:textId="77777777" w:rsidR="00B850BC" w:rsidRPr="00B850BC" w:rsidRDefault="00B850BC" w:rsidP="00143D57">
      <w:pPr>
        <w:bidi w:val="0"/>
        <w:ind w:left="720" w:hanging="720"/>
        <w:rPr>
          <w:color w:val="000000"/>
          <w:sz w:val="22"/>
          <w:szCs w:val="22"/>
        </w:rPr>
      </w:pPr>
      <w:r w:rsidRPr="00AA363B">
        <w:rPr>
          <w:color w:val="000000"/>
          <w:sz w:val="22"/>
          <w:szCs w:val="22"/>
        </w:rPr>
        <w:t>Moran, Dermot.</w:t>
      </w:r>
      <w:r w:rsidRPr="00B850BC">
        <w:rPr>
          <w:color w:val="000000"/>
          <w:sz w:val="22"/>
          <w:szCs w:val="22"/>
        </w:rPr>
        <w:t> </w:t>
      </w:r>
      <w:r w:rsidRPr="00AA363B">
        <w:rPr>
          <w:i/>
          <w:iCs/>
          <w:color w:val="000000"/>
          <w:sz w:val="22"/>
          <w:szCs w:val="22"/>
        </w:rPr>
        <w:t>Introduction to Phenomenology</w:t>
      </w:r>
      <w:r w:rsidRPr="00AA363B">
        <w:rPr>
          <w:color w:val="000000"/>
          <w:sz w:val="22"/>
          <w:szCs w:val="22"/>
        </w:rPr>
        <w:t>. London and New York: Routledge, 2001.</w:t>
      </w:r>
    </w:p>
    <w:p w14:paraId="6EC2F62D" w14:textId="77777777" w:rsidR="00B850BC" w:rsidRPr="00B850BC" w:rsidRDefault="00B850BC" w:rsidP="00143D57">
      <w:pPr>
        <w:pStyle w:val="a5"/>
        <w:ind w:left="720" w:hanging="720"/>
        <w:rPr>
          <w:sz w:val="22"/>
          <w:szCs w:val="22"/>
          <w:lang w:val="en-GB"/>
        </w:rPr>
      </w:pPr>
      <w:r w:rsidRPr="00B850BC">
        <w:rPr>
          <w:sz w:val="22"/>
          <w:szCs w:val="22"/>
          <w:lang w:val="en-GB"/>
        </w:rPr>
        <w:t xml:space="preserve">Rodowick, D. N. </w:t>
      </w:r>
      <w:r w:rsidRPr="00B850BC">
        <w:rPr>
          <w:i/>
          <w:iCs/>
          <w:sz w:val="22"/>
          <w:szCs w:val="22"/>
          <w:lang w:val="en-GB"/>
        </w:rPr>
        <w:t>Gilles Deleuze’s Time Machine</w:t>
      </w:r>
      <w:r w:rsidRPr="00B850BC">
        <w:rPr>
          <w:sz w:val="22"/>
          <w:szCs w:val="22"/>
          <w:lang w:val="en-GB"/>
        </w:rPr>
        <w:t>. Durham: Duke University Press, 1997.</w:t>
      </w:r>
    </w:p>
    <w:p w14:paraId="486B0FE3" w14:textId="77777777" w:rsidR="00B850BC" w:rsidRPr="00B850BC" w:rsidRDefault="00B850BC" w:rsidP="00143D57">
      <w:pPr>
        <w:pStyle w:val="a5"/>
        <w:ind w:left="720" w:hanging="720"/>
        <w:rPr>
          <w:sz w:val="22"/>
          <w:szCs w:val="22"/>
          <w:lang w:val="en-GB"/>
        </w:rPr>
      </w:pPr>
      <w:r w:rsidRPr="00B850BC">
        <w:rPr>
          <w:sz w:val="22"/>
          <w:szCs w:val="22"/>
          <w:lang w:val="en-GB"/>
        </w:rPr>
        <w:t xml:space="preserve">Rushton, Richard. “Deleuzian Spectatorship.” </w:t>
      </w:r>
      <w:r w:rsidRPr="00B850BC">
        <w:rPr>
          <w:i/>
          <w:iCs/>
          <w:sz w:val="22"/>
          <w:szCs w:val="22"/>
          <w:lang w:val="en-GB"/>
        </w:rPr>
        <w:t>Screen</w:t>
      </w:r>
      <w:r w:rsidRPr="00B850BC">
        <w:rPr>
          <w:sz w:val="22"/>
          <w:szCs w:val="22"/>
          <w:lang w:val="en-GB"/>
        </w:rPr>
        <w:t xml:space="preserve"> 50.1 (2009): 45-53.</w:t>
      </w:r>
    </w:p>
    <w:p w14:paraId="4E4D54E6" w14:textId="77777777" w:rsidR="00B850BC" w:rsidRPr="00B850BC" w:rsidRDefault="00B850BC" w:rsidP="00143D57">
      <w:pPr>
        <w:pStyle w:val="a5"/>
        <w:ind w:left="720" w:hanging="720"/>
        <w:rPr>
          <w:sz w:val="22"/>
          <w:szCs w:val="22"/>
          <w:lang w:val="en-GB"/>
        </w:rPr>
      </w:pPr>
      <w:r w:rsidRPr="00B850BC">
        <w:rPr>
          <w:sz w:val="22"/>
          <w:szCs w:val="22"/>
          <w:lang w:val="en-GB"/>
        </w:rPr>
        <w:t xml:space="preserve">Sartre, Jean-Paul. </w:t>
      </w:r>
      <w:r w:rsidRPr="00B850BC">
        <w:rPr>
          <w:i/>
          <w:iCs/>
          <w:sz w:val="22"/>
          <w:szCs w:val="22"/>
          <w:lang w:val="en-GB"/>
        </w:rPr>
        <w:t>The Imaginary: A Phenomenological Psychology of the Imagination</w:t>
      </w:r>
      <w:r w:rsidRPr="00B850BC">
        <w:rPr>
          <w:sz w:val="22"/>
          <w:szCs w:val="22"/>
          <w:lang w:val="en-GB"/>
        </w:rPr>
        <w:t>. Trans. Jonathan Webber. London: Routledge, 2004.</w:t>
      </w:r>
    </w:p>
    <w:p w14:paraId="07BEE8CE"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Sobchack, Vivian.</w:t>
      </w:r>
      <w:r w:rsidRPr="00B850BC">
        <w:rPr>
          <w:color w:val="000000"/>
          <w:sz w:val="22"/>
          <w:szCs w:val="22"/>
        </w:rPr>
        <w:t> </w:t>
      </w:r>
      <w:r w:rsidRPr="00AA363B">
        <w:rPr>
          <w:i/>
          <w:iCs/>
          <w:color w:val="000000"/>
          <w:sz w:val="22"/>
          <w:szCs w:val="22"/>
        </w:rPr>
        <w:t>Carnal Thoughts: Embodiment and Moving Image Culture</w:t>
      </w:r>
      <w:r w:rsidRPr="00AA363B">
        <w:rPr>
          <w:color w:val="000000"/>
          <w:sz w:val="22"/>
          <w:szCs w:val="22"/>
        </w:rPr>
        <w:t>. Berkeley: University of California Press, 2004.</w:t>
      </w:r>
    </w:p>
    <w:p w14:paraId="41F5D3DE"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Sobchack, Vivian.</w:t>
      </w:r>
      <w:r w:rsidRPr="00B850BC">
        <w:rPr>
          <w:color w:val="000000"/>
          <w:sz w:val="22"/>
          <w:szCs w:val="22"/>
        </w:rPr>
        <w:t> </w:t>
      </w:r>
      <w:r w:rsidRPr="00AA363B">
        <w:rPr>
          <w:i/>
          <w:iCs/>
          <w:color w:val="000000"/>
          <w:sz w:val="22"/>
          <w:szCs w:val="22"/>
        </w:rPr>
        <w:t>The Address of the Eye: A Phenomenology of Film Experience</w:t>
      </w:r>
      <w:r w:rsidRPr="00AA363B">
        <w:rPr>
          <w:color w:val="000000"/>
          <w:sz w:val="22"/>
          <w:szCs w:val="22"/>
        </w:rPr>
        <w:t>. Princeton: Princeton University Press, 1992.</w:t>
      </w:r>
    </w:p>
    <w:p w14:paraId="0ECDCBDC" w14:textId="77777777" w:rsidR="00B850BC" w:rsidRPr="00AA363B" w:rsidRDefault="00B850BC" w:rsidP="00143D57">
      <w:pPr>
        <w:bidi w:val="0"/>
        <w:ind w:left="720" w:hanging="720"/>
        <w:rPr>
          <w:rFonts w:ascii="Calibri" w:hAnsi="Calibri" w:cs="Calibri"/>
          <w:color w:val="000000"/>
          <w:sz w:val="22"/>
          <w:szCs w:val="22"/>
        </w:rPr>
      </w:pPr>
      <w:r w:rsidRPr="00AA363B">
        <w:rPr>
          <w:color w:val="000000"/>
          <w:sz w:val="22"/>
          <w:szCs w:val="22"/>
        </w:rPr>
        <w:t>Sokolowski, Robert.</w:t>
      </w:r>
      <w:r w:rsidRPr="00B850BC">
        <w:rPr>
          <w:color w:val="000000"/>
          <w:sz w:val="22"/>
          <w:szCs w:val="22"/>
        </w:rPr>
        <w:t> </w:t>
      </w:r>
      <w:r w:rsidRPr="00AA363B">
        <w:rPr>
          <w:i/>
          <w:iCs/>
          <w:color w:val="000000"/>
          <w:sz w:val="22"/>
          <w:szCs w:val="22"/>
        </w:rPr>
        <w:t>Introduction to Phenomenology.</w:t>
      </w:r>
      <w:r w:rsidRPr="00B850BC">
        <w:rPr>
          <w:i/>
          <w:iCs/>
          <w:color w:val="000000"/>
          <w:sz w:val="22"/>
          <w:szCs w:val="22"/>
        </w:rPr>
        <w:t> </w:t>
      </w:r>
      <w:r w:rsidRPr="00AA363B">
        <w:rPr>
          <w:color w:val="000000"/>
          <w:sz w:val="22"/>
          <w:szCs w:val="22"/>
        </w:rPr>
        <w:t>Cambridge: Cambridge University Press, 2000.</w:t>
      </w:r>
    </w:p>
    <w:p w14:paraId="08127318" w14:textId="77777777" w:rsidR="00B850BC" w:rsidRPr="00B850BC" w:rsidRDefault="00B850BC" w:rsidP="00143D57">
      <w:pPr>
        <w:pStyle w:val="a5"/>
        <w:ind w:left="720" w:hanging="720"/>
        <w:rPr>
          <w:sz w:val="22"/>
          <w:szCs w:val="22"/>
          <w:lang w:val="en-GB"/>
        </w:rPr>
      </w:pPr>
      <w:r w:rsidRPr="00B850BC">
        <w:rPr>
          <w:sz w:val="22"/>
          <w:szCs w:val="22"/>
          <w:lang w:val="en-GB"/>
        </w:rPr>
        <w:t xml:space="preserve">Ungaro, Jean. </w:t>
      </w:r>
      <w:r w:rsidRPr="00B850BC">
        <w:rPr>
          <w:i/>
          <w:iCs/>
          <w:sz w:val="22"/>
          <w:szCs w:val="22"/>
          <w:lang w:val="en-GB"/>
        </w:rPr>
        <w:t>André Bazin: Généalogies d’une théorie</w:t>
      </w:r>
      <w:r w:rsidRPr="00B850BC">
        <w:rPr>
          <w:sz w:val="22"/>
          <w:szCs w:val="22"/>
          <w:lang w:val="en-GB"/>
        </w:rPr>
        <w:t>. Paris: L’Harmattan, 2000.</w:t>
      </w:r>
    </w:p>
    <w:p w14:paraId="46D60DBA" w14:textId="77777777" w:rsidR="00AA363B" w:rsidRDefault="00B850BC" w:rsidP="00143D57">
      <w:pPr>
        <w:bidi w:val="0"/>
        <w:ind w:left="720" w:hanging="720"/>
        <w:rPr>
          <w:color w:val="000000"/>
          <w:sz w:val="22"/>
          <w:szCs w:val="22"/>
        </w:rPr>
      </w:pPr>
      <w:r w:rsidRPr="00B850BC">
        <w:rPr>
          <w:color w:val="000000"/>
          <w:sz w:val="22"/>
          <w:szCs w:val="22"/>
        </w:rPr>
        <w:t>Winter, Alison. “Film and the Construction of Memory in Psychoanalysis, 1940-1960,”</w:t>
      </w:r>
      <w:r w:rsidRPr="00B850BC">
        <w:rPr>
          <w:rStyle w:val="apple-converted-space"/>
          <w:color w:val="000000"/>
          <w:sz w:val="22"/>
          <w:szCs w:val="22"/>
        </w:rPr>
        <w:t> </w:t>
      </w:r>
      <w:r w:rsidRPr="00B850BC">
        <w:rPr>
          <w:i/>
          <w:iCs/>
          <w:color w:val="000000"/>
          <w:sz w:val="22"/>
          <w:szCs w:val="22"/>
        </w:rPr>
        <w:t>Science in Context</w:t>
      </w:r>
      <w:r w:rsidRPr="00B850BC">
        <w:rPr>
          <w:rStyle w:val="apple-converted-space"/>
          <w:color w:val="000000"/>
          <w:sz w:val="22"/>
          <w:szCs w:val="22"/>
        </w:rPr>
        <w:t> </w:t>
      </w:r>
      <w:r w:rsidRPr="00B850BC">
        <w:rPr>
          <w:color w:val="000000"/>
          <w:sz w:val="22"/>
          <w:szCs w:val="22"/>
        </w:rPr>
        <w:t>19.1 (2006): 111-136.</w:t>
      </w:r>
    </w:p>
    <w:p w14:paraId="4391EBC9" w14:textId="091A85A1" w:rsidR="00972B47" w:rsidRPr="00972B47" w:rsidRDefault="00972B47" w:rsidP="00972B47">
      <w:pPr>
        <w:bidi w:val="0"/>
        <w:ind w:left="720" w:hanging="720"/>
        <w:rPr>
          <w:rFonts w:cs="FrankRuehl"/>
          <w:sz w:val="22"/>
          <w:szCs w:val="22"/>
        </w:rPr>
      </w:pPr>
    </w:p>
    <w:p w14:paraId="635D55BD" w14:textId="6063268E" w:rsidR="00972B47" w:rsidRPr="00972B47" w:rsidRDefault="00972B47" w:rsidP="00972B47">
      <w:pPr>
        <w:bidi w:val="0"/>
        <w:ind w:left="720" w:hanging="720"/>
        <w:rPr>
          <w:rFonts w:cs="FrankRuehl"/>
          <w:sz w:val="22"/>
          <w:szCs w:val="22"/>
        </w:rPr>
      </w:pPr>
    </w:p>
    <w:p w14:paraId="5520DBB4" w14:textId="77777777" w:rsidR="00972B47" w:rsidRDefault="00972B47" w:rsidP="00972B47">
      <w:pPr>
        <w:bidi w:val="0"/>
        <w:ind w:left="720" w:hanging="720"/>
        <w:rPr>
          <w:rFonts w:cs="FrankRuehl"/>
          <w:sz w:val="22"/>
          <w:szCs w:val="22"/>
        </w:rPr>
      </w:pPr>
    </w:p>
    <w:sectPr w:rsidR="00972B4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37C99" w14:textId="77777777" w:rsidR="009B61A5" w:rsidRDefault="009B61A5" w:rsidP="00972B47">
      <w:r>
        <w:separator/>
      </w:r>
    </w:p>
  </w:endnote>
  <w:endnote w:type="continuationSeparator" w:id="0">
    <w:p w14:paraId="3940CF69" w14:textId="77777777" w:rsidR="009B61A5" w:rsidRDefault="009B61A5" w:rsidP="0097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4B5A" w14:textId="77777777" w:rsidR="00972B47" w:rsidRDefault="00972B47" w:rsidP="00D83609">
    <w:pPr>
      <w:pStyle w:val="a7"/>
      <w:framePr w:wrap="none" w:vAnchor="text" w:hAnchor="margin" w:xAlign="center" w:y="1"/>
      <w:rPr>
        <w:rStyle w:val="a9"/>
      </w:rPr>
    </w:pPr>
    <w:r>
      <w:rPr>
        <w:rStyle w:val="a9"/>
        <w:rtl/>
      </w:rPr>
      <w:fldChar w:fldCharType="begin"/>
    </w:r>
    <w:r>
      <w:rPr>
        <w:rStyle w:val="a9"/>
      </w:rPr>
      <w:instrText xml:space="preserve">PAGE  </w:instrText>
    </w:r>
    <w:r>
      <w:rPr>
        <w:rStyle w:val="a9"/>
        <w:rtl/>
      </w:rPr>
      <w:fldChar w:fldCharType="end"/>
    </w:r>
  </w:p>
  <w:p w14:paraId="1FC55CA1" w14:textId="77777777" w:rsidR="00972B47" w:rsidRDefault="00972B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D1FD" w14:textId="77777777" w:rsidR="00972B47" w:rsidRDefault="00972B47" w:rsidP="00D83609">
    <w:pPr>
      <w:pStyle w:val="a7"/>
      <w:framePr w:wrap="none" w:vAnchor="text" w:hAnchor="margin" w:xAlign="center" w:y="1"/>
      <w:rPr>
        <w:rStyle w:val="a9"/>
      </w:rPr>
    </w:pPr>
    <w:r>
      <w:rPr>
        <w:rStyle w:val="a9"/>
        <w:rtl/>
      </w:rPr>
      <w:fldChar w:fldCharType="begin"/>
    </w:r>
    <w:r>
      <w:rPr>
        <w:rStyle w:val="a9"/>
      </w:rPr>
      <w:instrText xml:space="preserve">PAGE  </w:instrText>
    </w:r>
    <w:r>
      <w:rPr>
        <w:rStyle w:val="a9"/>
        <w:rtl/>
      </w:rPr>
      <w:fldChar w:fldCharType="separate"/>
    </w:r>
    <w:r w:rsidR="00E93F75">
      <w:rPr>
        <w:rStyle w:val="a9"/>
        <w:noProof/>
        <w:rtl/>
      </w:rPr>
      <w:t>1</w:t>
    </w:r>
    <w:r>
      <w:rPr>
        <w:rStyle w:val="a9"/>
        <w:rtl/>
      </w:rPr>
      <w:fldChar w:fldCharType="end"/>
    </w:r>
  </w:p>
  <w:p w14:paraId="6B0F0056" w14:textId="77777777" w:rsidR="00972B47" w:rsidRDefault="00972B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EF87" w14:textId="77777777" w:rsidR="009B61A5" w:rsidRDefault="009B61A5" w:rsidP="00972B47">
      <w:r>
        <w:separator/>
      </w:r>
    </w:p>
  </w:footnote>
  <w:footnote w:type="continuationSeparator" w:id="0">
    <w:p w14:paraId="1B517EC9" w14:textId="77777777" w:rsidR="009B61A5" w:rsidRDefault="009B61A5" w:rsidP="00972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9A"/>
    <w:rsid w:val="00063E83"/>
    <w:rsid w:val="000B059A"/>
    <w:rsid w:val="000C1EF0"/>
    <w:rsid w:val="000F6E83"/>
    <w:rsid w:val="00143D57"/>
    <w:rsid w:val="002C2F79"/>
    <w:rsid w:val="002D578C"/>
    <w:rsid w:val="00490372"/>
    <w:rsid w:val="004A4448"/>
    <w:rsid w:val="00542BD9"/>
    <w:rsid w:val="00595249"/>
    <w:rsid w:val="0066215E"/>
    <w:rsid w:val="007C5084"/>
    <w:rsid w:val="007D0978"/>
    <w:rsid w:val="007E66FA"/>
    <w:rsid w:val="007F7338"/>
    <w:rsid w:val="0080241B"/>
    <w:rsid w:val="008E6436"/>
    <w:rsid w:val="009703EF"/>
    <w:rsid w:val="00972B47"/>
    <w:rsid w:val="009B61A5"/>
    <w:rsid w:val="009D5320"/>
    <w:rsid w:val="009E350F"/>
    <w:rsid w:val="00A0026E"/>
    <w:rsid w:val="00A81138"/>
    <w:rsid w:val="00AA363B"/>
    <w:rsid w:val="00B850BC"/>
    <w:rsid w:val="00BA1503"/>
    <w:rsid w:val="00C80B74"/>
    <w:rsid w:val="00C929D5"/>
    <w:rsid w:val="00D04FC5"/>
    <w:rsid w:val="00D706C6"/>
    <w:rsid w:val="00E61625"/>
    <w:rsid w:val="00E93F75"/>
    <w:rsid w:val="00F978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7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33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0B74"/>
    <w:rPr>
      <w:rFonts w:ascii="Tahoma" w:hAnsi="Tahoma" w:cs="Tahoma"/>
      <w:sz w:val="16"/>
      <w:szCs w:val="16"/>
    </w:rPr>
  </w:style>
  <w:style w:type="character" w:styleId="Hyperlink">
    <w:name w:val="Hyperlink"/>
    <w:rsid w:val="004A4448"/>
    <w:rPr>
      <w:color w:val="0000FF"/>
      <w:u w:val="single"/>
    </w:rPr>
  </w:style>
  <w:style w:type="character" w:styleId="a4">
    <w:name w:val="Strong"/>
    <w:qFormat/>
    <w:rsid w:val="00D706C6"/>
    <w:rPr>
      <w:b/>
      <w:bCs/>
    </w:rPr>
  </w:style>
  <w:style w:type="paragraph" w:customStyle="1" w:styleId="Bibliography1">
    <w:name w:val="Bibliography1"/>
    <w:basedOn w:val="a"/>
    <w:rsid w:val="00D706C6"/>
    <w:pPr>
      <w:bidi w:val="0"/>
      <w:ind w:left="720" w:hanging="720"/>
      <w:jc w:val="both"/>
    </w:pPr>
    <w:rPr>
      <w:sz w:val="22"/>
      <w:lang w:bidi="ar-SA"/>
    </w:rPr>
  </w:style>
  <w:style w:type="character" w:customStyle="1" w:styleId="apple-style-span">
    <w:name w:val="apple-style-span"/>
    <w:rsid w:val="00D706C6"/>
  </w:style>
  <w:style w:type="character" w:customStyle="1" w:styleId="apple-converted-space">
    <w:name w:val="apple-converted-space"/>
    <w:rsid w:val="00D706C6"/>
  </w:style>
  <w:style w:type="paragraph" w:styleId="a5">
    <w:name w:val="endnote text"/>
    <w:basedOn w:val="a"/>
    <w:link w:val="a6"/>
    <w:unhideWhenUsed/>
    <w:rsid w:val="00AA363B"/>
    <w:pPr>
      <w:bidi w:val="0"/>
    </w:pPr>
    <w:rPr>
      <w:sz w:val="20"/>
      <w:szCs w:val="20"/>
    </w:rPr>
  </w:style>
  <w:style w:type="character" w:customStyle="1" w:styleId="a6">
    <w:name w:val="טקסט הערת סיום תו"/>
    <w:basedOn w:val="a0"/>
    <w:link w:val="a5"/>
    <w:rsid w:val="00AA363B"/>
  </w:style>
  <w:style w:type="paragraph" w:styleId="a7">
    <w:name w:val="footer"/>
    <w:basedOn w:val="a"/>
    <w:link w:val="a8"/>
    <w:rsid w:val="00972B47"/>
    <w:pPr>
      <w:tabs>
        <w:tab w:val="center" w:pos="4680"/>
        <w:tab w:val="right" w:pos="9360"/>
      </w:tabs>
    </w:pPr>
  </w:style>
  <w:style w:type="character" w:customStyle="1" w:styleId="a8">
    <w:name w:val="כותרת תחתונה תו"/>
    <w:basedOn w:val="a0"/>
    <w:link w:val="a7"/>
    <w:rsid w:val="00972B47"/>
    <w:rPr>
      <w:sz w:val="24"/>
      <w:szCs w:val="24"/>
    </w:rPr>
  </w:style>
  <w:style w:type="character" w:styleId="a9">
    <w:name w:val="page number"/>
    <w:basedOn w:val="a0"/>
    <w:rsid w:val="00972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33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0B74"/>
    <w:rPr>
      <w:rFonts w:ascii="Tahoma" w:hAnsi="Tahoma" w:cs="Tahoma"/>
      <w:sz w:val="16"/>
      <w:szCs w:val="16"/>
    </w:rPr>
  </w:style>
  <w:style w:type="character" w:styleId="Hyperlink">
    <w:name w:val="Hyperlink"/>
    <w:rsid w:val="004A4448"/>
    <w:rPr>
      <w:color w:val="0000FF"/>
      <w:u w:val="single"/>
    </w:rPr>
  </w:style>
  <w:style w:type="character" w:styleId="a4">
    <w:name w:val="Strong"/>
    <w:qFormat/>
    <w:rsid w:val="00D706C6"/>
    <w:rPr>
      <w:b/>
      <w:bCs/>
    </w:rPr>
  </w:style>
  <w:style w:type="paragraph" w:customStyle="1" w:styleId="Bibliography1">
    <w:name w:val="Bibliography1"/>
    <w:basedOn w:val="a"/>
    <w:rsid w:val="00D706C6"/>
    <w:pPr>
      <w:bidi w:val="0"/>
      <w:ind w:left="720" w:hanging="720"/>
      <w:jc w:val="both"/>
    </w:pPr>
    <w:rPr>
      <w:sz w:val="22"/>
      <w:lang w:bidi="ar-SA"/>
    </w:rPr>
  </w:style>
  <w:style w:type="character" w:customStyle="1" w:styleId="apple-style-span">
    <w:name w:val="apple-style-span"/>
    <w:rsid w:val="00D706C6"/>
  </w:style>
  <w:style w:type="character" w:customStyle="1" w:styleId="apple-converted-space">
    <w:name w:val="apple-converted-space"/>
    <w:rsid w:val="00D706C6"/>
  </w:style>
  <w:style w:type="paragraph" w:styleId="a5">
    <w:name w:val="endnote text"/>
    <w:basedOn w:val="a"/>
    <w:link w:val="a6"/>
    <w:unhideWhenUsed/>
    <w:rsid w:val="00AA363B"/>
    <w:pPr>
      <w:bidi w:val="0"/>
    </w:pPr>
    <w:rPr>
      <w:sz w:val="20"/>
      <w:szCs w:val="20"/>
    </w:rPr>
  </w:style>
  <w:style w:type="character" w:customStyle="1" w:styleId="a6">
    <w:name w:val="טקסט הערת סיום תו"/>
    <w:basedOn w:val="a0"/>
    <w:link w:val="a5"/>
    <w:rsid w:val="00AA363B"/>
  </w:style>
  <w:style w:type="paragraph" w:styleId="a7">
    <w:name w:val="footer"/>
    <w:basedOn w:val="a"/>
    <w:link w:val="a8"/>
    <w:rsid w:val="00972B47"/>
    <w:pPr>
      <w:tabs>
        <w:tab w:val="center" w:pos="4680"/>
        <w:tab w:val="right" w:pos="9360"/>
      </w:tabs>
    </w:pPr>
  </w:style>
  <w:style w:type="character" w:customStyle="1" w:styleId="a8">
    <w:name w:val="כותרת תחתונה תו"/>
    <w:basedOn w:val="a0"/>
    <w:link w:val="a7"/>
    <w:rsid w:val="00972B47"/>
    <w:rPr>
      <w:sz w:val="24"/>
      <w:szCs w:val="24"/>
    </w:rPr>
  </w:style>
  <w:style w:type="character" w:styleId="a9">
    <w:name w:val="page number"/>
    <w:basedOn w:val="a0"/>
    <w:rsid w:val="0097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243">
      <w:bodyDiv w:val="1"/>
      <w:marLeft w:val="0"/>
      <w:marRight w:val="0"/>
      <w:marTop w:val="0"/>
      <w:marBottom w:val="0"/>
      <w:divBdr>
        <w:top w:val="none" w:sz="0" w:space="0" w:color="auto"/>
        <w:left w:val="none" w:sz="0" w:space="0" w:color="auto"/>
        <w:bottom w:val="none" w:sz="0" w:space="0" w:color="auto"/>
        <w:right w:val="none" w:sz="0" w:space="0" w:color="auto"/>
      </w:divBdr>
    </w:div>
    <w:div w:id="186456643">
      <w:bodyDiv w:val="1"/>
      <w:marLeft w:val="0"/>
      <w:marRight w:val="0"/>
      <w:marTop w:val="0"/>
      <w:marBottom w:val="0"/>
      <w:divBdr>
        <w:top w:val="none" w:sz="0" w:space="0" w:color="auto"/>
        <w:left w:val="none" w:sz="0" w:space="0" w:color="auto"/>
        <w:bottom w:val="none" w:sz="0" w:space="0" w:color="auto"/>
        <w:right w:val="none" w:sz="0" w:space="0" w:color="auto"/>
      </w:divBdr>
    </w:div>
    <w:div w:id="793984008">
      <w:bodyDiv w:val="1"/>
      <w:marLeft w:val="0"/>
      <w:marRight w:val="0"/>
      <w:marTop w:val="0"/>
      <w:marBottom w:val="0"/>
      <w:divBdr>
        <w:top w:val="none" w:sz="0" w:space="0" w:color="auto"/>
        <w:left w:val="none" w:sz="0" w:space="0" w:color="auto"/>
        <w:bottom w:val="none" w:sz="0" w:space="0" w:color="auto"/>
        <w:right w:val="none" w:sz="0" w:space="0" w:color="auto"/>
      </w:divBdr>
    </w:div>
    <w:div w:id="815338601">
      <w:bodyDiv w:val="1"/>
      <w:marLeft w:val="0"/>
      <w:marRight w:val="0"/>
      <w:marTop w:val="0"/>
      <w:marBottom w:val="0"/>
      <w:divBdr>
        <w:top w:val="none" w:sz="0" w:space="0" w:color="auto"/>
        <w:left w:val="none" w:sz="0" w:space="0" w:color="auto"/>
        <w:bottom w:val="none" w:sz="0" w:space="0" w:color="auto"/>
        <w:right w:val="none" w:sz="0" w:space="0" w:color="auto"/>
      </w:divBdr>
    </w:div>
    <w:div w:id="821967280">
      <w:bodyDiv w:val="1"/>
      <w:marLeft w:val="0"/>
      <w:marRight w:val="0"/>
      <w:marTop w:val="0"/>
      <w:marBottom w:val="0"/>
      <w:divBdr>
        <w:top w:val="none" w:sz="0" w:space="0" w:color="auto"/>
        <w:left w:val="none" w:sz="0" w:space="0" w:color="auto"/>
        <w:bottom w:val="none" w:sz="0" w:space="0" w:color="auto"/>
        <w:right w:val="none" w:sz="0" w:space="0" w:color="auto"/>
      </w:divBdr>
    </w:div>
    <w:div w:id="1011567339">
      <w:bodyDiv w:val="1"/>
      <w:marLeft w:val="0"/>
      <w:marRight w:val="0"/>
      <w:marTop w:val="0"/>
      <w:marBottom w:val="0"/>
      <w:divBdr>
        <w:top w:val="none" w:sz="0" w:space="0" w:color="auto"/>
        <w:left w:val="none" w:sz="0" w:space="0" w:color="auto"/>
        <w:bottom w:val="none" w:sz="0" w:space="0" w:color="auto"/>
        <w:right w:val="none" w:sz="0" w:space="0" w:color="auto"/>
      </w:divBdr>
    </w:div>
    <w:div w:id="1492991478">
      <w:bodyDiv w:val="1"/>
      <w:marLeft w:val="0"/>
      <w:marRight w:val="0"/>
      <w:marTop w:val="0"/>
      <w:marBottom w:val="0"/>
      <w:divBdr>
        <w:top w:val="none" w:sz="0" w:space="0" w:color="auto"/>
        <w:left w:val="none" w:sz="0" w:space="0" w:color="auto"/>
        <w:bottom w:val="none" w:sz="0" w:space="0" w:color="auto"/>
        <w:right w:val="none" w:sz="0" w:space="0" w:color="auto"/>
      </w:divBdr>
    </w:div>
    <w:div w:id="1804300209">
      <w:bodyDiv w:val="1"/>
      <w:marLeft w:val="0"/>
      <w:marRight w:val="0"/>
      <w:marTop w:val="0"/>
      <w:marBottom w:val="0"/>
      <w:divBdr>
        <w:top w:val="none" w:sz="0" w:space="0" w:color="auto"/>
        <w:left w:val="none" w:sz="0" w:space="0" w:color="auto"/>
        <w:bottom w:val="none" w:sz="0" w:space="0" w:color="auto"/>
        <w:right w:val="none" w:sz="0" w:space="0" w:color="auto"/>
      </w:divBdr>
    </w:div>
    <w:div w:id="2061467633">
      <w:bodyDiv w:val="1"/>
      <w:marLeft w:val="0"/>
      <w:marRight w:val="0"/>
      <w:marTop w:val="0"/>
      <w:marBottom w:val="0"/>
      <w:divBdr>
        <w:top w:val="none" w:sz="0" w:space="0" w:color="auto"/>
        <w:left w:val="none" w:sz="0" w:space="0" w:color="auto"/>
        <w:bottom w:val="none" w:sz="0" w:space="0" w:color="auto"/>
        <w:right w:val="none" w:sz="0" w:space="0" w:color="auto"/>
      </w:divBdr>
    </w:div>
    <w:div w:id="208968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hagin@post.tau.a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7740</Characters>
  <Application>Microsoft Office Word</Application>
  <DocSecurity>4</DocSecurity>
  <Lines>64</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סילבוס</vt:lpstr>
      <vt:lpstr>טופס סילבוס</vt:lpstr>
    </vt:vector>
  </TitlesOfParts>
  <Company/>
  <LinksUpToDate>false</LinksUpToDate>
  <CharactersWithSpaces>8978</CharactersWithSpaces>
  <SharedDoc>false</SharedDoc>
  <HLinks>
    <vt:vector size="6" baseType="variant">
      <vt:variant>
        <vt:i4>7405635</vt:i4>
      </vt:variant>
      <vt:variant>
        <vt:i4>0</vt:i4>
      </vt:variant>
      <vt:variant>
        <vt:i4>0</vt:i4>
      </vt:variant>
      <vt:variant>
        <vt:i4>5</vt:i4>
      </vt:variant>
      <vt:variant>
        <vt:lpwstr>mailto:bhagin@post.tau.ac.il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סילבוס</dc:title>
  <dc:creator>Nitzan Ben-Shaul</dc:creator>
  <cp:lastModifiedBy>Liraz Oren</cp:lastModifiedBy>
  <cp:revision>2</cp:revision>
  <cp:lastPrinted>2012-07-15T11:34:00Z</cp:lastPrinted>
  <dcterms:created xsi:type="dcterms:W3CDTF">2016-07-31T08:10:00Z</dcterms:created>
  <dcterms:modified xsi:type="dcterms:W3CDTF">2016-07-31T08:10:00Z</dcterms:modified>
</cp:coreProperties>
</file>