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338" w:rsidRPr="00C80B74" w:rsidRDefault="007F7338" w:rsidP="00C80B74">
      <w:pPr>
        <w:widowControl w:val="0"/>
        <w:tabs>
          <w:tab w:val="left" w:pos="8460"/>
        </w:tabs>
        <w:autoSpaceDE w:val="0"/>
        <w:autoSpaceDN w:val="0"/>
        <w:adjustRightInd w:val="0"/>
        <w:jc w:val="center"/>
        <w:rPr>
          <w:rFonts w:ascii="Arial" w:hAnsi="Arial" w:cs="Arial" w:hint="cs"/>
          <w:u w:val="single"/>
          <w:rtl/>
        </w:rPr>
      </w:pPr>
    </w:p>
    <w:p w:rsidR="007F7338" w:rsidRPr="00C80B74" w:rsidRDefault="007F7338" w:rsidP="00C80B74">
      <w:pPr>
        <w:widowControl w:val="0"/>
        <w:tabs>
          <w:tab w:val="left" w:pos="8460"/>
        </w:tabs>
        <w:autoSpaceDE w:val="0"/>
        <w:autoSpaceDN w:val="0"/>
        <w:adjustRightInd w:val="0"/>
        <w:jc w:val="center"/>
        <w:rPr>
          <w:rFonts w:ascii="Arial" w:hAnsi="Arial" w:cs="Arial"/>
          <w:u w:val="single"/>
          <w:rtl/>
        </w:rPr>
      </w:pPr>
    </w:p>
    <w:p w:rsidR="007F7338" w:rsidRPr="00C80B74" w:rsidRDefault="007F7338" w:rsidP="00C80B74">
      <w:pPr>
        <w:widowControl w:val="0"/>
        <w:tabs>
          <w:tab w:val="left" w:pos="8460"/>
        </w:tabs>
        <w:autoSpaceDE w:val="0"/>
        <w:autoSpaceDN w:val="0"/>
        <w:adjustRightInd w:val="0"/>
        <w:jc w:val="center"/>
        <w:rPr>
          <w:rFonts w:ascii="Arial" w:hAnsi="Arial" w:cs="Arial"/>
          <w:u w:val="single"/>
          <w:rtl/>
        </w:rPr>
      </w:pPr>
    </w:p>
    <w:p w:rsidR="007F7338" w:rsidRPr="00C80B74" w:rsidRDefault="00467185" w:rsidP="00467185">
      <w:pPr>
        <w:widowControl w:val="0"/>
        <w:tabs>
          <w:tab w:val="left" w:pos="8460"/>
        </w:tabs>
        <w:autoSpaceDE w:val="0"/>
        <w:autoSpaceDN w:val="0"/>
        <w:adjustRightInd w:val="0"/>
        <w:spacing w:line="320" w:lineRule="exact"/>
        <w:jc w:val="center"/>
        <w:rPr>
          <w:rFonts w:ascii="Arial" w:hAnsi="Arial" w:cs="Arial"/>
          <w:b/>
          <w:bCs/>
          <w:rtl/>
        </w:rPr>
      </w:pPr>
      <w:r w:rsidRPr="00467185">
        <w:rPr>
          <w:rFonts w:ascii="Arial" w:hAnsi="Arial" w:cs="Arial"/>
          <w:b/>
          <w:bCs/>
          <w:rtl/>
        </w:rPr>
        <w:t>גישות קוגניטיביות לחקר הקולנוע</w:t>
      </w:r>
    </w:p>
    <w:p w:rsidR="007F7338" w:rsidRPr="00C80B74" w:rsidRDefault="00467185" w:rsidP="00467185">
      <w:pPr>
        <w:widowControl w:val="0"/>
        <w:tabs>
          <w:tab w:val="left" w:pos="8460"/>
        </w:tabs>
        <w:autoSpaceDE w:val="0"/>
        <w:autoSpaceDN w:val="0"/>
        <w:adjustRightInd w:val="0"/>
        <w:spacing w:line="320" w:lineRule="exact"/>
        <w:jc w:val="center"/>
        <w:rPr>
          <w:rFonts w:ascii="Arial" w:hAnsi="Arial" w:cs="Arial"/>
          <w:b/>
          <w:bCs/>
          <w:rtl/>
        </w:rPr>
      </w:pPr>
      <w:r w:rsidRPr="00467185">
        <w:rPr>
          <w:rFonts w:ascii="Arial" w:hAnsi="Arial" w:cs="Arial"/>
          <w:b/>
          <w:bCs/>
        </w:rPr>
        <w:t>Introduction to cognitive theories of motion pictures</w:t>
      </w:r>
      <w:r w:rsidR="007F7338" w:rsidRPr="00C80B74">
        <w:rPr>
          <w:rFonts w:ascii="Arial" w:hAnsi="Arial" w:cs="Arial"/>
          <w:b/>
          <w:bCs/>
          <w:rtl/>
        </w:rPr>
        <w:t xml:space="preserve"> </w:t>
      </w:r>
    </w:p>
    <w:p w:rsidR="007F7338" w:rsidRPr="00C80B74" w:rsidRDefault="00BA1503" w:rsidP="00B4031D">
      <w:pPr>
        <w:widowControl w:val="0"/>
        <w:tabs>
          <w:tab w:val="left" w:pos="8460"/>
        </w:tabs>
        <w:autoSpaceDE w:val="0"/>
        <w:autoSpaceDN w:val="0"/>
        <w:adjustRightInd w:val="0"/>
        <w:spacing w:line="320" w:lineRule="exact"/>
        <w:jc w:val="center"/>
        <w:rPr>
          <w:rFonts w:ascii="Arial" w:hAnsi="Arial" w:cs="Arial" w:hint="cs"/>
          <w:b/>
          <w:bCs/>
          <w:rtl/>
        </w:rPr>
      </w:pPr>
      <w:r>
        <w:rPr>
          <w:rFonts w:ascii="Arial" w:hAnsi="Arial" w:cs="Arial"/>
          <w:b/>
          <w:bCs/>
          <w:rtl/>
        </w:rPr>
        <w:t xml:space="preserve">סמסטר </w:t>
      </w:r>
      <w:r w:rsidR="00B4031D">
        <w:rPr>
          <w:rFonts w:ascii="Arial" w:hAnsi="Arial" w:cs="Arial" w:hint="cs"/>
          <w:b/>
          <w:bCs/>
          <w:rtl/>
        </w:rPr>
        <w:t>א</w:t>
      </w:r>
      <w:r w:rsidR="00BA10ED">
        <w:rPr>
          <w:rFonts w:ascii="Arial" w:hAnsi="Arial" w:cs="Arial" w:hint="cs"/>
          <w:b/>
          <w:bCs/>
          <w:rtl/>
        </w:rPr>
        <w:t xml:space="preserve">' </w:t>
      </w:r>
      <w:r>
        <w:rPr>
          <w:rFonts w:ascii="Arial" w:hAnsi="Arial" w:cs="Arial"/>
          <w:b/>
          <w:bCs/>
          <w:rtl/>
        </w:rPr>
        <w:t>תש</w:t>
      </w:r>
      <w:r w:rsidR="00A81138">
        <w:rPr>
          <w:rFonts w:ascii="Arial" w:hAnsi="Arial" w:cs="Arial" w:hint="cs"/>
          <w:b/>
          <w:bCs/>
          <w:rtl/>
        </w:rPr>
        <w:t>ע"</w:t>
      </w:r>
      <w:r w:rsidR="00B4031D">
        <w:rPr>
          <w:rFonts w:ascii="Arial" w:hAnsi="Arial" w:cs="Arial" w:hint="cs"/>
          <w:b/>
          <w:bCs/>
          <w:rtl/>
        </w:rPr>
        <w:t>ו</w:t>
      </w:r>
    </w:p>
    <w:p w:rsidR="007F7338" w:rsidRPr="00C80B74" w:rsidRDefault="00BA10ED" w:rsidP="00C80B74">
      <w:pPr>
        <w:widowControl w:val="0"/>
        <w:tabs>
          <w:tab w:val="left" w:pos="8460"/>
        </w:tabs>
        <w:autoSpaceDE w:val="0"/>
        <w:autoSpaceDN w:val="0"/>
        <w:adjustRightInd w:val="0"/>
        <w:spacing w:line="320" w:lineRule="exact"/>
        <w:jc w:val="center"/>
        <w:rPr>
          <w:rFonts w:ascii="Arial" w:hAnsi="Arial" w:cs="Arial"/>
          <w:b/>
          <w:bCs/>
          <w:rtl/>
        </w:rPr>
      </w:pPr>
      <w:r>
        <w:rPr>
          <w:rFonts w:ascii="Arial" w:hAnsi="Arial" w:cs="Arial" w:hint="cs"/>
          <w:b/>
          <w:bCs/>
          <w:rtl/>
        </w:rPr>
        <w:t>2</w:t>
      </w:r>
      <w:r w:rsidR="007F7338" w:rsidRPr="00C80B74">
        <w:rPr>
          <w:rFonts w:ascii="Arial" w:hAnsi="Arial" w:cs="Arial"/>
          <w:b/>
          <w:bCs/>
          <w:rtl/>
        </w:rPr>
        <w:t xml:space="preserve"> ש"ס </w:t>
      </w:r>
    </w:p>
    <w:p w:rsidR="007F7338" w:rsidRPr="00C80B74" w:rsidRDefault="007F7338" w:rsidP="00C80B74">
      <w:pPr>
        <w:widowControl w:val="0"/>
        <w:tabs>
          <w:tab w:val="left" w:pos="8460"/>
        </w:tabs>
        <w:autoSpaceDE w:val="0"/>
        <w:autoSpaceDN w:val="0"/>
        <w:adjustRightInd w:val="0"/>
        <w:spacing w:line="320" w:lineRule="exact"/>
        <w:jc w:val="center"/>
        <w:rPr>
          <w:rFonts w:ascii="Arial" w:hAnsi="Arial" w:cs="Arial"/>
          <w:b/>
          <w:bCs/>
          <w:rtl/>
        </w:rPr>
      </w:pPr>
    </w:p>
    <w:p w:rsidR="007F7338" w:rsidRPr="00C80B74" w:rsidRDefault="007F7338" w:rsidP="00CF554A">
      <w:pPr>
        <w:widowControl w:val="0"/>
        <w:tabs>
          <w:tab w:val="left" w:pos="8460"/>
        </w:tabs>
        <w:autoSpaceDE w:val="0"/>
        <w:autoSpaceDN w:val="0"/>
        <w:adjustRightInd w:val="0"/>
        <w:spacing w:line="320" w:lineRule="exact"/>
        <w:jc w:val="center"/>
        <w:rPr>
          <w:rFonts w:ascii="Arial" w:hAnsi="Arial" w:cs="Arial"/>
          <w:rtl/>
        </w:rPr>
      </w:pPr>
      <w:r w:rsidRPr="00C80B74">
        <w:rPr>
          <w:rFonts w:ascii="Arial" w:hAnsi="Arial" w:cs="Arial"/>
          <w:b/>
          <w:bCs/>
          <w:rtl/>
        </w:rPr>
        <w:t>סוג המסגרת:</w:t>
      </w:r>
      <w:r w:rsidRPr="00C80B74">
        <w:rPr>
          <w:rFonts w:ascii="Arial" w:hAnsi="Arial" w:cs="Arial"/>
          <w:rtl/>
        </w:rPr>
        <w:t xml:space="preserve"> שיעור</w:t>
      </w:r>
    </w:p>
    <w:tbl>
      <w:tblPr>
        <w:bidiVisual/>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36"/>
        <w:gridCol w:w="1930"/>
        <w:gridCol w:w="1662"/>
        <w:gridCol w:w="2751"/>
      </w:tblGrid>
      <w:tr w:rsidR="007F7338" w:rsidRPr="00C80B74">
        <w:tc>
          <w:tcPr>
            <w:tcW w:w="8279" w:type="dxa"/>
            <w:gridSpan w:val="4"/>
            <w:tcBorders>
              <w:top w:val="nil"/>
              <w:left w:val="nil"/>
              <w:bottom w:val="nil"/>
              <w:right w:val="nil"/>
            </w:tcBorders>
          </w:tcPr>
          <w:p w:rsidR="007F7338" w:rsidRPr="00C80B74" w:rsidRDefault="007F7338" w:rsidP="00C80B74">
            <w:pPr>
              <w:tabs>
                <w:tab w:val="left" w:pos="8460"/>
              </w:tabs>
              <w:jc w:val="center"/>
              <w:rPr>
                <w:rFonts w:ascii="Arial" w:hAnsi="Arial" w:cs="Arial"/>
              </w:rPr>
            </w:pPr>
            <w:r w:rsidRPr="00C80B74">
              <w:rPr>
                <w:rFonts w:ascii="Arial" w:hAnsi="Arial" w:cs="Arial"/>
                <w:b/>
                <w:bCs/>
                <w:rtl/>
              </w:rPr>
              <w:t>שם המרצה:</w:t>
            </w:r>
            <w:r w:rsidRPr="00C80B74">
              <w:rPr>
                <w:rFonts w:ascii="Arial" w:hAnsi="Arial" w:cs="Arial"/>
                <w:rtl/>
              </w:rPr>
              <w:t xml:space="preserve"> </w:t>
            </w:r>
            <w:r w:rsidR="00BA10ED">
              <w:rPr>
                <w:rFonts w:ascii="Arial" w:hAnsi="Arial" w:cs="Arial" w:hint="cs"/>
                <w:rtl/>
              </w:rPr>
              <w:t>גל רז</w:t>
            </w:r>
          </w:p>
        </w:tc>
      </w:tr>
      <w:tr w:rsidR="007F7338" w:rsidRPr="00C80B74">
        <w:tc>
          <w:tcPr>
            <w:tcW w:w="3866" w:type="dxa"/>
            <w:gridSpan w:val="2"/>
            <w:tcBorders>
              <w:top w:val="nil"/>
              <w:left w:val="nil"/>
              <w:bottom w:val="nil"/>
              <w:right w:val="nil"/>
            </w:tcBorders>
          </w:tcPr>
          <w:p w:rsidR="007F7338" w:rsidRPr="00C80B74" w:rsidRDefault="007F7338" w:rsidP="00C80B74">
            <w:pPr>
              <w:tabs>
                <w:tab w:val="left" w:pos="8460"/>
              </w:tabs>
              <w:jc w:val="center"/>
              <w:rPr>
                <w:rFonts w:ascii="Arial" w:hAnsi="Arial" w:cs="Arial"/>
              </w:rPr>
            </w:pPr>
          </w:p>
        </w:tc>
        <w:tc>
          <w:tcPr>
            <w:tcW w:w="4413" w:type="dxa"/>
            <w:gridSpan w:val="2"/>
            <w:tcBorders>
              <w:top w:val="nil"/>
              <w:left w:val="nil"/>
              <w:bottom w:val="nil"/>
              <w:right w:val="nil"/>
            </w:tcBorders>
          </w:tcPr>
          <w:p w:rsidR="007F7338" w:rsidRPr="00C80B74" w:rsidRDefault="007F7338" w:rsidP="00C80B74">
            <w:pPr>
              <w:tabs>
                <w:tab w:val="left" w:pos="8460"/>
              </w:tabs>
              <w:jc w:val="center"/>
              <w:rPr>
                <w:rFonts w:ascii="Arial" w:hAnsi="Arial" w:cs="Arial"/>
              </w:rPr>
            </w:pPr>
            <w:r w:rsidRPr="00C80B74">
              <w:rPr>
                <w:rFonts w:ascii="Arial" w:hAnsi="Arial" w:cs="Arial"/>
                <w:rtl/>
              </w:rPr>
              <w:t xml:space="preserve">דואר אלקטרוני: </w:t>
            </w:r>
            <w:r w:rsidR="00BA10ED">
              <w:rPr>
                <w:rFonts w:ascii="Arial" w:hAnsi="Arial" w:cs="Arial"/>
              </w:rPr>
              <w:t>galraz@post.tau.ac.il</w:t>
            </w:r>
            <w:r w:rsidRPr="00C80B74">
              <w:rPr>
                <w:rFonts w:ascii="Arial" w:hAnsi="Arial" w:cs="Arial"/>
                <w:rtl/>
              </w:rPr>
              <w:t xml:space="preserve">   </w:t>
            </w:r>
          </w:p>
        </w:tc>
      </w:tr>
      <w:tr w:rsidR="007F7338" w:rsidRPr="00C80B74">
        <w:tc>
          <w:tcPr>
            <w:tcW w:w="1936" w:type="dxa"/>
            <w:tcBorders>
              <w:top w:val="nil"/>
              <w:left w:val="nil"/>
              <w:bottom w:val="nil"/>
              <w:right w:val="nil"/>
            </w:tcBorders>
          </w:tcPr>
          <w:p w:rsidR="007F7338" w:rsidRPr="00C80B74" w:rsidRDefault="00CF554A" w:rsidP="00CF554A">
            <w:pPr>
              <w:tabs>
                <w:tab w:val="left" w:pos="8460"/>
              </w:tabs>
              <w:jc w:val="center"/>
              <w:rPr>
                <w:rFonts w:ascii="Arial" w:hAnsi="Arial" w:cs="Arial"/>
              </w:rPr>
            </w:pPr>
            <w:r>
              <w:rPr>
                <w:rFonts w:ascii="Arial" w:hAnsi="Arial" w:cs="Arial" w:hint="cs"/>
                <w:rtl/>
              </w:rPr>
              <w:t xml:space="preserve">שעות קבלה: </w:t>
            </w:r>
            <w:r w:rsidRPr="00C80B74">
              <w:rPr>
                <w:rFonts w:ascii="Arial" w:hAnsi="Arial" w:cs="Arial"/>
                <w:rtl/>
              </w:rPr>
              <w:t xml:space="preserve">לפי תאום טלפוני מראש   </w:t>
            </w:r>
          </w:p>
        </w:tc>
        <w:tc>
          <w:tcPr>
            <w:tcW w:w="1930" w:type="dxa"/>
            <w:tcBorders>
              <w:top w:val="nil"/>
              <w:left w:val="nil"/>
              <w:bottom w:val="nil"/>
              <w:right w:val="nil"/>
            </w:tcBorders>
          </w:tcPr>
          <w:p w:rsidR="007F7338" w:rsidRPr="00C80B74" w:rsidRDefault="007F7338" w:rsidP="00C80B74">
            <w:pPr>
              <w:tabs>
                <w:tab w:val="left" w:pos="8460"/>
              </w:tabs>
              <w:jc w:val="center"/>
              <w:rPr>
                <w:rFonts w:ascii="Arial" w:hAnsi="Arial" w:cs="Arial"/>
              </w:rPr>
            </w:pPr>
          </w:p>
        </w:tc>
        <w:tc>
          <w:tcPr>
            <w:tcW w:w="1662" w:type="dxa"/>
            <w:tcBorders>
              <w:top w:val="nil"/>
              <w:left w:val="nil"/>
              <w:bottom w:val="nil"/>
              <w:right w:val="nil"/>
            </w:tcBorders>
          </w:tcPr>
          <w:p w:rsidR="007F7338" w:rsidRPr="00C80B74" w:rsidRDefault="007F7338" w:rsidP="00C80B74">
            <w:pPr>
              <w:tabs>
                <w:tab w:val="left" w:pos="8460"/>
              </w:tabs>
              <w:jc w:val="center"/>
              <w:rPr>
                <w:rFonts w:ascii="Arial" w:hAnsi="Arial" w:cs="Arial"/>
              </w:rPr>
            </w:pPr>
          </w:p>
        </w:tc>
        <w:tc>
          <w:tcPr>
            <w:tcW w:w="2751" w:type="dxa"/>
            <w:tcBorders>
              <w:top w:val="nil"/>
              <w:left w:val="nil"/>
              <w:bottom w:val="nil"/>
              <w:right w:val="nil"/>
            </w:tcBorders>
          </w:tcPr>
          <w:p w:rsidR="007F7338" w:rsidRPr="00C80B74" w:rsidRDefault="007F7338" w:rsidP="00C80B74">
            <w:pPr>
              <w:tabs>
                <w:tab w:val="left" w:pos="8460"/>
              </w:tabs>
              <w:jc w:val="center"/>
              <w:rPr>
                <w:rFonts w:ascii="Arial" w:hAnsi="Arial" w:cs="Arial"/>
              </w:rPr>
            </w:pPr>
          </w:p>
        </w:tc>
      </w:tr>
      <w:tr w:rsidR="007F7338" w:rsidRPr="00C80B74">
        <w:tc>
          <w:tcPr>
            <w:tcW w:w="8279" w:type="dxa"/>
            <w:gridSpan w:val="4"/>
            <w:tcBorders>
              <w:top w:val="nil"/>
              <w:left w:val="nil"/>
              <w:bottom w:val="nil"/>
              <w:right w:val="nil"/>
            </w:tcBorders>
          </w:tcPr>
          <w:p w:rsidR="007F7338" w:rsidRPr="00C80B74" w:rsidRDefault="007F7338" w:rsidP="00C80B74">
            <w:pPr>
              <w:tabs>
                <w:tab w:val="left" w:pos="8460"/>
              </w:tabs>
              <w:jc w:val="center"/>
              <w:rPr>
                <w:rFonts w:ascii="Arial" w:hAnsi="Arial" w:cs="Arial"/>
              </w:rPr>
            </w:pPr>
          </w:p>
        </w:tc>
      </w:tr>
      <w:tr w:rsidR="007F7338" w:rsidRPr="00C80B74">
        <w:trPr>
          <w:trHeight w:val="119"/>
        </w:trPr>
        <w:tc>
          <w:tcPr>
            <w:tcW w:w="8279" w:type="dxa"/>
            <w:gridSpan w:val="4"/>
            <w:tcBorders>
              <w:top w:val="nil"/>
              <w:left w:val="nil"/>
              <w:bottom w:val="nil"/>
              <w:right w:val="nil"/>
            </w:tcBorders>
          </w:tcPr>
          <w:p w:rsidR="007F7338" w:rsidRPr="00C80B74" w:rsidRDefault="007F7338" w:rsidP="00C80B74">
            <w:pPr>
              <w:tabs>
                <w:tab w:val="left" w:pos="8460"/>
              </w:tabs>
              <w:jc w:val="center"/>
              <w:rPr>
                <w:rFonts w:ascii="Arial" w:hAnsi="Arial" w:cs="Arial"/>
              </w:rPr>
            </w:pPr>
          </w:p>
        </w:tc>
      </w:tr>
      <w:tr w:rsidR="007F7338" w:rsidRPr="00C80B74">
        <w:tc>
          <w:tcPr>
            <w:tcW w:w="3866" w:type="dxa"/>
            <w:gridSpan w:val="2"/>
            <w:tcBorders>
              <w:top w:val="nil"/>
              <w:left w:val="nil"/>
              <w:bottom w:val="nil"/>
              <w:right w:val="nil"/>
            </w:tcBorders>
          </w:tcPr>
          <w:p w:rsidR="007F7338" w:rsidRPr="00C80B74" w:rsidRDefault="007F7338" w:rsidP="00C80B74">
            <w:pPr>
              <w:tabs>
                <w:tab w:val="left" w:pos="8460"/>
              </w:tabs>
              <w:jc w:val="center"/>
              <w:rPr>
                <w:rFonts w:ascii="Arial" w:hAnsi="Arial" w:cs="Arial"/>
              </w:rPr>
            </w:pPr>
          </w:p>
        </w:tc>
        <w:tc>
          <w:tcPr>
            <w:tcW w:w="4413" w:type="dxa"/>
            <w:gridSpan w:val="2"/>
            <w:tcBorders>
              <w:top w:val="nil"/>
              <w:left w:val="nil"/>
              <w:bottom w:val="nil"/>
              <w:right w:val="nil"/>
            </w:tcBorders>
          </w:tcPr>
          <w:p w:rsidR="007F7338" w:rsidRPr="00C80B74" w:rsidRDefault="007F7338" w:rsidP="00C80B74">
            <w:pPr>
              <w:tabs>
                <w:tab w:val="left" w:pos="8460"/>
              </w:tabs>
              <w:jc w:val="center"/>
              <w:rPr>
                <w:rFonts w:ascii="Arial" w:hAnsi="Arial" w:cs="Arial"/>
              </w:rPr>
            </w:pPr>
          </w:p>
        </w:tc>
      </w:tr>
      <w:tr w:rsidR="007F7338" w:rsidRPr="00C80B74">
        <w:trPr>
          <w:trHeight w:val="72"/>
        </w:trPr>
        <w:tc>
          <w:tcPr>
            <w:tcW w:w="1936" w:type="dxa"/>
            <w:tcBorders>
              <w:top w:val="nil"/>
              <w:left w:val="nil"/>
              <w:bottom w:val="nil"/>
              <w:right w:val="nil"/>
            </w:tcBorders>
          </w:tcPr>
          <w:p w:rsidR="007F7338" w:rsidRPr="00C80B74" w:rsidRDefault="007F7338" w:rsidP="00C80B74">
            <w:pPr>
              <w:tabs>
                <w:tab w:val="left" w:pos="8460"/>
              </w:tabs>
              <w:jc w:val="center"/>
              <w:rPr>
                <w:rFonts w:ascii="Arial" w:hAnsi="Arial" w:cs="Arial"/>
              </w:rPr>
            </w:pPr>
          </w:p>
        </w:tc>
        <w:tc>
          <w:tcPr>
            <w:tcW w:w="1930" w:type="dxa"/>
            <w:tcBorders>
              <w:top w:val="nil"/>
              <w:left w:val="nil"/>
              <w:bottom w:val="nil"/>
              <w:right w:val="nil"/>
            </w:tcBorders>
          </w:tcPr>
          <w:p w:rsidR="007F7338" w:rsidRPr="00C80B74" w:rsidRDefault="007F7338" w:rsidP="00C80B74">
            <w:pPr>
              <w:tabs>
                <w:tab w:val="left" w:pos="8460"/>
              </w:tabs>
              <w:jc w:val="center"/>
              <w:rPr>
                <w:rFonts w:ascii="Arial" w:hAnsi="Arial" w:cs="Arial"/>
              </w:rPr>
            </w:pPr>
          </w:p>
        </w:tc>
        <w:tc>
          <w:tcPr>
            <w:tcW w:w="1662" w:type="dxa"/>
            <w:tcBorders>
              <w:top w:val="nil"/>
              <w:left w:val="nil"/>
              <w:bottom w:val="nil"/>
              <w:right w:val="nil"/>
            </w:tcBorders>
          </w:tcPr>
          <w:p w:rsidR="007F7338" w:rsidRPr="00C80B74" w:rsidRDefault="007F7338" w:rsidP="00C80B74">
            <w:pPr>
              <w:tabs>
                <w:tab w:val="left" w:pos="8460"/>
              </w:tabs>
              <w:jc w:val="center"/>
              <w:rPr>
                <w:rFonts w:ascii="Arial" w:hAnsi="Arial" w:cs="Arial"/>
              </w:rPr>
            </w:pPr>
          </w:p>
        </w:tc>
        <w:tc>
          <w:tcPr>
            <w:tcW w:w="2751" w:type="dxa"/>
            <w:tcBorders>
              <w:top w:val="nil"/>
              <w:left w:val="nil"/>
              <w:bottom w:val="nil"/>
              <w:right w:val="nil"/>
            </w:tcBorders>
          </w:tcPr>
          <w:p w:rsidR="007F7338" w:rsidRPr="00C80B74" w:rsidRDefault="007F7338" w:rsidP="00C80B74">
            <w:pPr>
              <w:tabs>
                <w:tab w:val="left" w:pos="8460"/>
              </w:tabs>
              <w:jc w:val="center"/>
              <w:rPr>
                <w:rFonts w:ascii="Arial" w:hAnsi="Arial" w:cs="Arial"/>
              </w:rPr>
            </w:pPr>
          </w:p>
        </w:tc>
      </w:tr>
      <w:tr w:rsidR="007F7338" w:rsidRPr="00C80B74">
        <w:trPr>
          <w:trHeight w:val="72"/>
        </w:trPr>
        <w:tc>
          <w:tcPr>
            <w:tcW w:w="8279" w:type="dxa"/>
            <w:gridSpan w:val="4"/>
            <w:tcBorders>
              <w:top w:val="nil"/>
              <w:left w:val="nil"/>
              <w:bottom w:val="nil"/>
              <w:right w:val="nil"/>
            </w:tcBorders>
          </w:tcPr>
          <w:p w:rsidR="007F7338" w:rsidRPr="00C80B74" w:rsidRDefault="007F7338" w:rsidP="00C80B74">
            <w:pPr>
              <w:tabs>
                <w:tab w:val="left" w:pos="2702"/>
                <w:tab w:val="center" w:pos="4031"/>
                <w:tab w:val="left" w:pos="8460"/>
              </w:tabs>
              <w:rPr>
                <w:rFonts w:ascii="Arial" w:hAnsi="Arial" w:cs="Arial"/>
              </w:rPr>
            </w:pPr>
          </w:p>
        </w:tc>
      </w:tr>
    </w:tbl>
    <w:p w:rsidR="007F7338" w:rsidRPr="00C80B74" w:rsidRDefault="007F7338" w:rsidP="00C80B74">
      <w:pPr>
        <w:widowControl w:val="0"/>
        <w:tabs>
          <w:tab w:val="left" w:pos="8460"/>
        </w:tabs>
        <w:autoSpaceDE w:val="0"/>
        <w:autoSpaceDN w:val="0"/>
        <w:adjustRightInd w:val="0"/>
        <w:spacing w:line="320" w:lineRule="exact"/>
        <w:jc w:val="both"/>
        <w:rPr>
          <w:rFonts w:ascii="Arial" w:hAnsi="Arial" w:cs="Arial"/>
          <w:b/>
          <w:bCs/>
          <w:rtl/>
        </w:rPr>
      </w:pPr>
      <w:r w:rsidRPr="00C80B74">
        <w:rPr>
          <w:rFonts w:ascii="Arial" w:hAnsi="Arial" w:cs="Arial"/>
          <w:b/>
          <w:bCs/>
          <w:rtl/>
        </w:rPr>
        <w:t xml:space="preserve">תאור הקורס   </w:t>
      </w:r>
    </w:p>
    <w:p w:rsidR="00467185" w:rsidRPr="00BA7F61" w:rsidRDefault="00467185" w:rsidP="00BA7F61">
      <w:pPr>
        <w:spacing w:line="276" w:lineRule="auto"/>
        <w:jc w:val="both"/>
        <w:rPr>
          <w:rFonts w:cs="David"/>
          <w:rtl/>
        </w:rPr>
      </w:pPr>
      <w:r w:rsidRPr="00BA7F61">
        <w:rPr>
          <w:rFonts w:cs="David" w:hint="cs"/>
          <w:rtl/>
        </w:rPr>
        <w:t xml:space="preserve">הגישה </w:t>
      </w:r>
      <w:proofErr w:type="spellStart"/>
      <w:r w:rsidRPr="00BA7F61">
        <w:rPr>
          <w:rFonts w:cs="David" w:hint="cs"/>
          <w:rtl/>
        </w:rPr>
        <w:t>הקוגניטיביסטית</w:t>
      </w:r>
      <w:proofErr w:type="spellEnd"/>
      <w:r w:rsidRPr="00BA7F61">
        <w:rPr>
          <w:rFonts w:cs="David" w:hint="cs"/>
          <w:rtl/>
        </w:rPr>
        <w:t xml:space="preserve"> לחקר הקולנוע הופיעה על רקע השפעתן הגוברת של תיאוריות סמיוטיות </w:t>
      </w:r>
      <w:proofErr w:type="spellStart"/>
      <w:r w:rsidRPr="00BA7F61">
        <w:rPr>
          <w:rFonts w:cs="David" w:hint="cs"/>
          <w:rtl/>
        </w:rPr>
        <w:t>ולאקאניאניות</w:t>
      </w:r>
      <w:proofErr w:type="spellEnd"/>
      <w:r w:rsidRPr="00BA7F61">
        <w:rPr>
          <w:rFonts w:cs="David" w:hint="cs"/>
          <w:rtl/>
        </w:rPr>
        <w:t xml:space="preserve">, הרואות בסרטים ובתכניות הטלוויזיה גורמים המשעתקים מערכות סימנים אידיאולוגיות. בהסתמך על המחקר המתפתח בענף </w:t>
      </w:r>
      <w:proofErr w:type="spellStart"/>
      <w:r w:rsidRPr="00BA7F61">
        <w:rPr>
          <w:rFonts w:cs="David" w:hint="cs"/>
          <w:rtl/>
        </w:rPr>
        <w:t>הקוגניטיביסטי</w:t>
      </w:r>
      <w:proofErr w:type="spellEnd"/>
      <w:r w:rsidRPr="00BA7F61">
        <w:rPr>
          <w:rFonts w:cs="David" w:hint="cs"/>
          <w:rtl/>
        </w:rPr>
        <w:t xml:space="preserve"> בפסיכולוגיה מציעה גישה זו אג'נדה אלטרנטיבית, המבקשת להתמקד בדרכים הייחודיות שבהן מפעילים הסרטים מנגנונים פסיכולוגיים שונים. </w:t>
      </w:r>
    </w:p>
    <w:p w:rsidR="00467185" w:rsidRPr="00BA7F61" w:rsidRDefault="00467185" w:rsidP="00BA7F61">
      <w:pPr>
        <w:spacing w:line="276" w:lineRule="auto"/>
        <w:jc w:val="both"/>
        <w:rPr>
          <w:rFonts w:cs="David"/>
          <w:rtl/>
        </w:rPr>
      </w:pPr>
    </w:p>
    <w:p w:rsidR="00467185" w:rsidRPr="00BA7F61" w:rsidRDefault="00467185" w:rsidP="00BA7F61">
      <w:pPr>
        <w:spacing w:line="276" w:lineRule="auto"/>
        <w:jc w:val="both"/>
        <w:rPr>
          <w:rFonts w:cs="David"/>
          <w:rtl/>
        </w:rPr>
      </w:pPr>
      <w:r w:rsidRPr="00BA7F61">
        <w:rPr>
          <w:rFonts w:cs="David" w:hint="cs"/>
          <w:rtl/>
        </w:rPr>
        <w:t xml:space="preserve">הקורס יעסוק במגוון שאלות הנדונות בתחום זה: מהי עלילה קולנועית ואיך </w:t>
      </w:r>
      <w:proofErr w:type="spellStart"/>
      <w:r w:rsidRPr="00BA7F61">
        <w:rPr>
          <w:rFonts w:cs="David" w:hint="cs"/>
          <w:rtl/>
        </w:rPr>
        <w:t>ניבנית</w:t>
      </w:r>
      <w:proofErr w:type="spellEnd"/>
      <w:r w:rsidRPr="00BA7F61">
        <w:rPr>
          <w:rFonts w:cs="David" w:hint="cs"/>
          <w:rtl/>
        </w:rPr>
        <w:t xml:space="preserve"> הבנתה על-ידי הצופה במהלך הסרט? אילו סוגי מניפולציות מבוצעים בעלילה הקולנועית ומהן </w:t>
      </w:r>
      <w:proofErr w:type="spellStart"/>
      <w:r w:rsidRPr="00BA7F61">
        <w:rPr>
          <w:rFonts w:cs="David" w:hint="cs"/>
          <w:rtl/>
        </w:rPr>
        <w:t>השפעויותיהן</w:t>
      </w:r>
      <w:proofErr w:type="spellEnd"/>
      <w:r w:rsidRPr="00BA7F61">
        <w:rPr>
          <w:rFonts w:cs="David" w:hint="cs"/>
          <w:rtl/>
        </w:rPr>
        <w:t xml:space="preserve"> על הצופים? כיצד יוצר הסרט אמפתיה עמוקה כלפי דמויות פיקטיביות שאנחנו יודעים שהן לא קיימות במציאות או פחד מפני דמויות אלה? מה מיוחד בחוויה הרגשית בקולנוע? כיצד יוצר הסרט רגעים של חוויה עמוקה של משמעות קיומית?</w:t>
      </w:r>
    </w:p>
    <w:p w:rsidR="00467185" w:rsidRPr="00BA7F61" w:rsidRDefault="00467185" w:rsidP="00BA7F61">
      <w:pPr>
        <w:spacing w:line="276" w:lineRule="auto"/>
        <w:jc w:val="both"/>
        <w:rPr>
          <w:rFonts w:cs="David"/>
        </w:rPr>
      </w:pPr>
    </w:p>
    <w:p w:rsidR="00467185" w:rsidRDefault="00467185" w:rsidP="00BA7F61">
      <w:pPr>
        <w:bidi w:val="0"/>
      </w:pPr>
      <w:r>
        <w:t xml:space="preserve">The </w:t>
      </w:r>
      <w:proofErr w:type="spellStart"/>
      <w:r>
        <w:t>cognitivist</w:t>
      </w:r>
      <w:proofErr w:type="spellEnd"/>
      <w:r>
        <w:t xml:space="preserve"> approach to film and television studies emerged amid the growing influence of </w:t>
      </w:r>
      <w:proofErr w:type="spellStart"/>
      <w:r>
        <w:t>semiological</w:t>
      </w:r>
      <w:proofErr w:type="spellEnd"/>
      <w:r>
        <w:t xml:space="preserve"> and </w:t>
      </w:r>
      <w:proofErr w:type="spellStart"/>
      <w:r>
        <w:t>Lacanian</w:t>
      </w:r>
      <w:proofErr w:type="spellEnd"/>
      <w:r>
        <w:t xml:space="preserve"> theories, which maintain that motion pictures are factors that reproduce and distribute ideological sign systems. Based on the developing research in the cognitive psychology, this approach has suggested an alternative agenda, which seeks to focus on the unique ways in which specific movies engage certain psychological mechanisms. </w:t>
      </w:r>
    </w:p>
    <w:p w:rsidR="00467185" w:rsidRDefault="00467185" w:rsidP="00467185"/>
    <w:p w:rsidR="00467185" w:rsidRDefault="00467185" w:rsidP="00467185">
      <w:pPr>
        <w:bidi w:val="0"/>
      </w:pPr>
      <w:r>
        <w:t xml:space="preserve">The course will deal with a variety of research questions in this field: what is a cinematic narrative and how does narrative comprehension is developing during the film viewing? How does the movie generate deep engagement with non-existing characters or fear from these characters? What is unique about the emotional experience in cinema? How does the film create experiences of existential meaningfulness? </w:t>
      </w:r>
    </w:p>
    <w:p w:rsidR="00CF554A" w:rsidRDefault="00CF554A" w:rsidP="00C80B74">
      <w:pPr>
        <w:widowControl w:val="0"/>
        <w:tabs>
          <w:tab w:val="left" w:pos="8460"/>
        </w:tabs>
        <w:autoSpaceDE w:val="0"/>
        <w:autoSpaceDN w:val="0"/>
        <w:adjustRightInd w:val="0"/>
        <w:spacing w:line="320" w:lineRule="exact"/>
        <w:jc w:val="both"/>
        <w:rPr>
          <w:rFonts w:ascii="Arial" w:hAnsi="Arial" w:cs="Arial"/>
          <w:rtl/>
        </w:rPr>
      </w:pPr>
    </w:p>
    <w:p w:rsidR="007F7338" w:rsidRPr="00C80B74" w:rsidRDefault="007F7338" w:rsidP="00C80B74">
      <w:pPr>
        <w:widowControl w:val="0"/>
        <w:tabs>
          <w:tab w:val="left" w:pos="8460"/>
        </w:tabs>
        <w:autoSpaceDE w:val="0"/>
        <w:autoSpaceDN w:val="0"/>
        <w:adjustRightInd w:val="0"/>
        <w:spacing w:line="320" w:lineRule="exact"/>
        <w:jc w:val="both"/>
        <w:rPr>
          <w:rFonts w:ascii="Arial" w:hAnsi="Arial" w:cs="Arial"/>
          <w:b/>
          <w:bCs/>
          <w:rtl/>
        </w:rPr>
      </w:pPr>
      <w:r w:rsidRPr="00C80B74">
        <w:rPr>
          <w:rFonts w:ascii="Arial" w:hAnsi="Arial" w:cs="Arial"/>
          <w:b/>
          <w:bCs/>
          <w:rtl/>
        </w:rPr>
        <w:lastRenderedPageBreak/>
        <w:t xml:space="preserve">דרישות הקורס </w:t>
      </w:r>
    </w:p>
    <w:p w:rsidR="007F7338" w:rsidRPr="00C80B74" w:rsidRDefault="007F7338" w:rsidP="00CF554A">
      <w:pPr>
        <w:widowControl w:val="0"/>
        <w:tabs>
          <w:tab w:val="left" w:pos="8460"/>
        </w:tabs>
        <w:autoSpaceDE w:val="0"/>
        <w:autoSpaceDN w:val="0"/>
        <w:adjustRightInd w:val="0"/>
        <w:spacing w:line="320" w:lineRule="exact"/>
        <w:jc w:val="both"/>
        <w:rPr>
          <w:rFonts w:ascii="Arial" w:hAnsi="Arial" w:cs="Arial"/>
          <w:rtl/>
        </w:rPr>
      </w:pPr>
      <w:r w:rsidRPr="00C80B74">
        <w:rPr>
          <w:rFonts w:ascii="Arial" w:hAnsi="Arial" w:cs="Arial"/>
          <w:rtl/>
        </w:rPr>
        <w:t xml:space="preserve">מבחן </w:t>
      </w:r>
    </w:p>
    <w:p w:rsidR="007F7338" w:rsidRPr="00C80B74" w:rsidRDefault="007F7338" w:rsidP="00C80B74">
      <w:pPr>
        <w:widowControl w:val="0"/>
        <w:tabs>
          <w:tab w:val="left" w:pos="8460"/>
        </w:tabs>
        <w:autoSpaceDE w:val="0"/>
        <w:autoSpaceDN w:val="0"/>
        <w:adjustRightInd w:val="0"/>
        <w:spacing w:line="320" w:lineRule="exact"/>
        <w:jc w:val="both"/>
        <w:rPr>
          <w:rFonts w:ascii="Arial" w:hAnsi="Arial" w:cs="Arial"/>
          <w:rtl/>
        </w:rPr>
      </w:pPr>
      <w:r w:rsidRPr="00C80B74">
        <w:rPr>
          <w:rFonts w:ascii="Arial" w:hAnsi="Arial" w:cs="Arial"/>
          <w:b/>
          <w:bCs/>
          <w:rtl/>
        </w:rPr>
        <w:t xml:space="preserve">מרכיבי הציון הסופי </w:t>
      </w:r>
    </w:p>
    <w:p w:rsidR="00CF554A" w:rsidRDefault="00CF554A" w:rsidP="00CF554A">
      <w:pPr>
        <w:widowControl w:val="0"/>
        <w:tabs>
          <w:tab w:val="left" w:pos="8460"/>
        </w:tabs>
        <w:autoSpaceDE w:val="0"/>
        <w:autoSpaceDN w:val="0"/>
        <w:adjustRightInd w:val="0"/>
        <w:spacing w:line="320" w:lineRule="exact"/>
        <w:jc w:val="both"/>
        <w:rPr>
          <w:rFonts w:ascii="Arial" w:hAnsi="Arial" w:cs="Arial"/>
          <w:b/>
          <w:bCs/>
          <w:rtl/>
        </w:rPr>
      </w:pPr>
      <w:r>
        <w:rPr>
          <w:rFonts w:ascii="Arial" w:hAnsi="Arial" w:cs="Arial" w:hint="cs"/>
          <w:rtl/>
        </w:rPr>
        <w:t>100</w:t>
      </w:r>
      <w:r w:rsidR="007F7338" w:rsidRPr="00C80B74">
        <w:rPr>
          <w:rFonts w:ascii="Arial" w:hAnsi="Arial" w:cs="Arial"/>
          <w:rtl/>
        </w:rPr>
        <w:t>% בחינה מסכמת</w:t>
      </w:r>
    </w:p>
    <w:p w:rsidR="007F7338" w:rsidRPr="00C80B74" w:rsidRDefault="007F7338" w:rsidP="00CF554A">
      <w:pPr>
        <w:widowControl w:val="0"/>
        <w:tabs>
          <w:tab w:val="left" w:pos="8460"/>
        </w:tabs>
        <w:autoSpaceDE w:val="0"/>
        <w:autoSpaceDN w:val="0"/>
        <w:adjustRightInd w:val="0"/>
        <w:spacing w:line="320" w:lineRule="exact"/>
        <w:jc w:val="both"/>
        <w:rPr>
          <w:rFonts w:ascii="Arial" w:hAnsi="Arial" w:cs="Arial"/>
          <w:rtl/>
        </w:rPr>
      </w:pPr>
      <w:r w:rsidRPr="00C80B74">
        <w:rPr>
          <w:rFonts w:ascii="Arial" w:hAnsi="Arial" w:cs="Arial"/>
          <w:b/>
          <w:bCs/>
          <w:rtl/>
        </w:rPr>
        <w:t>נושאי הקורס (נתון לשינויים)</w:t>
      </w:r>
    </w:p>
    <w:p w:rsidR="000869BA" w:rsidRDefault="000869BA" w:rsidP="000869BA">
      <w:pPr>
        <w:spacing w:line="360" w:lineRule="auto"/>
        <w:rPr>
          <w:rFonts w:cs="David"/>
          <w:rtl/>
        </w:rPr>
      </w:pPr>
    </w:p>
    <w:p w:rsidR="00BA7F61" w:rsidRPr="00BA7F61" w:rsidRDefault="00BA7F61" w:rsidP="00BA7F61">
      <w:pPr>
        <w:rPr>
          <w:rFonts w:cs="David"/>
          <w:b/>
          <w:bCs/>
        </w:rPr>
      </w:pPr>
      <w:r w:rsidRPr="00BA7F61">
        <w:rPr>
          <w:rFonts w:cs="David" w:hint="cs"/>
          <w:b/>
          <w:bCs/>
          <w:rtl/>
        </w:rPr>
        <w:t>חלק א' (שיעורים 1-2):</w:t>
      </w:r>
    </w:p>
    <w:p w:rsidR="00BA7F61" w:rsidRPr="00BA7F61" w:rsidRDefault="00BA7F61" w:rsidP="009B4C3B">
      <w:pPr>
        <w:rPr>
          <w:rFonts w:cs="David"/>
          <w:rtl/>
        </w:rPr>
      </w:pPr>
      <w:r w:rsidRPr="00BA7F61">
        <w:rPr>
          <w:rFonts w:cs="David" w:hint="cs"/>
          <w:rtl/>
        </w:rPr>
        <w:t xml:space="preserve">הופעת הגישה </w:t>
      </w:r>
      <w:proofErr w:type="spellStart"/>
      <w:r w:rsidRPr="00BA7F61">
        <w:rPr>
          <w:rFonts w:cs="David" w:hint="cs"/>
          <w:rtl/>
        </w:rPr>
        <w:t>הקוגניטיביסטית</w:t>
      </w:r>
      <w:proofErr w:type="spellEnd"/>
      <w:r w:rsidRPr="00BA7F61">
        <w:rPr>
          <w:rFonts w:cs="David" w:hint="cs"/>
          <w:rtl/>
        </w:rPr>
        <w:t xml:space="preserve"> בחקר הקולנוע </w:t>
      </w:r>
      <w:r w:rsidRPr="00BA7F61">
        <w:rPr>
          <w:rFonts w:cs="David"/>
          <w:rtl/>
        </w:rPr>
        <w:t>–</w:t>
      </w:r>
      <w:r w:rsidRPr="00BA7F61">
        <w:rPr>
          <w:rFonts w:cs="David" w:hint="cs"/>
          <w:rtl/>
        </w:rPr>
        <w:t xml:space="preserve"> ההקשר התיאורטי</w:t>
      </w:r>
      <w:r w:rsidR="009B4C3B">
        <w:rPr>
          <w:rFonts w:cs="David" w:hint="cs"/>
          <w:rtl/>
        </w:rPr>
        <w:t xml:space="preserve">: המפנה הקוגניטיבי בשדה הפסיכולוגיה, מעמדו של מחקר אמפירי של קולנוע. </w:t>
      </w:r>
    </w:p>
    <w:p w:rsidR="00BA7F61" w:rsidRPr="00BA7F61" w:rsidRDefault="00BA7F61" w:rsidP="00BA7F61">
      <w:pPr>
        <w:rPr>
          <w:rFonts w:cs="David"/>
          <w:rtl/>
        </w:rPr>
      </w:pPr>
    </w:p>
    <w:p w:rsidR="00BA7F61" w:rsidRPr="00BA7F61" w:rsidRDefault="00BA7F61" w:rsidP="00BA7F61">
      <w:pPr>
        <w:rPr>
          <w:rFonts w:cs="David"/>
          <w:rtl/>
        </w:rPr>
      </w:pPr>
      <w:r w:rsidRPr="00BA7F61">
        <w:rPr>
          <w:rFonts w:cs="David" w:hint="cs"/>
          <w:b/>
          <w:bCs/>
          <w:rtl/>
        </w:rPr>
        <w:t>חלק ב' (שיעורים 3-7):</w:t>
      </w:r>
    </w:p>
    <w:p w:rsidR="00BA7F61" w:rsidRPr="00BA7F61" w:rsidRDefault="00BA7F61" w:rsidP="00BA7F61">
      <w:pPr>
        <w:rPr>
          <w:rFonts w:cs="David"/>
          <w:rtl/>
        </w:rPr>
      </w:pPr>
      <w:r w:rsidRPr="00BA7F61">
        <w:rPr>
          <w:rFonts w:cs="David" w:hint="cs"/>
          <w:rtl/>
        </w:rPr>
        <w:t>מהו נרטיב? כיצד נבנית הבנה נרטיבית? שימוש בתחבולות נרטיביות ויצירת פערי מידע. כיצד משפיעה האבולוציה על התפיסה הנרטיבית (הגישה האקולוגית)?</w:t>
      </w:r>
    </w:p>
    <w:p w:rsidR="00BA7F61" w:rsidRDefault="00BA7F61" w:rsidP="00BA7F61">
      <w:pPr>
        <w:rPr>
          <w:rFonts w:cs="David"/>
          <w:b/>
          <w:bCs/>
          <w:rtl/>
        </w:rPr>
      </w:pPr>
    </w:p>
    <w:p w:rsidR="00BA7F61" w:rsidRPr="00BA7F61" w:rsidRDefault="00BA7F61" w:rsidP="00BA7F61">
      <w:pPr>
        <w:rPr>
          <w:rFonts w:cs="David"/>
          <w:b/>
          <w:bCs/>
          <w:rtl/>
        </w:rPr>
      </w:pPr>
      <w:r w:rsidRPr="00BA7F61">
        <w:rPr>
          <w:rFonts w:cs="David" w:hint="cs"/>
          <w:b/>
          <w:bCs/>
          <w:rtl/>
        </w:rPr>
        <w:t>חלק ג' (שיעורים 8-14):</w:t>
      </w:r>
    </w:p>
    <w:p w:rsidR="00BA7F61" w:rsidRPr="00BA7F61" w:rsidRDefault="00BA7F61" w:rsidP="00BA7F61">
      <w:pPr>
        <w:rPr>
          <w:rFonts w:cs="David"/>
          <w:rtl/>
        </w:rPr>
      </w:pPr>
      <w:r w:rsidRPr="00BA7F61">
        <w:rPr>
          <w:rFonts w:cs="David" w:hint="cs"/>
          <w:rtl/>
        </w:rPr>
        <w:t>מודלים קוגניטיביים לרגשות, ייחודיות הרגש הקולנועי, שאלת האמפתיה</w:t>
      </w:r>
      <w:r w:rsidRPr="00BA7F61">
        <w:rPr>
          <w:rFonts w:cs="David"/>
          <w:rtl/>
        </w:rPr>
        <w:t xml:space="preserve"> </w:t>
      </w:r>
      <w:r w:rsidRPr="00BA7F61">
        <w:rPr>
          <w:rFonts w:cs="David" w:hint="cs"/>
          <w:rtl/>
        </w:rPr>
        <w:t>וההזדהות</w:t>
      </w:r>
      <w:r w:rsidRPr="00BA7F61">
        <w:rPr>
          <w:rFonts w:cs="David"/>
          <w:rtl/>
        </w:rPr>
        <w:t xml:space="preserve"> </w:t>
      </w:r>
      <w:r w:rsidRPr="00BA7F61">
        <w:rPr>
          <w:rFonts w:cs="David" w:hint="cs"/>
          <w:rtl/>
        </w:rPr>
        <w:t>הקולנועית, מודל</w:t>
      </w:r>
      <w:r w:rsidRPr="00BA7F61">
        <w:rPr>
          <w:rFonts w:cs="David"/>
          <w:rtl/>
        </w:rPr>
        <w:t xml:space="preserve"> </w:t>
      </w:r>
      <w:r w:rsidRPr="00BA7F61">
        <w:rPr>
          <w:rFonts w:cs="David" w:hint="cs"/>
          <w:rtl/>
        </w:rPr>
        <w:t>זרימת</w:t>
      </w:r>
      <w:r w:rsidRPr="00BA7F61">
        <w:rPr>
          <w:rFonts w:cs="David"/>
          <w:rtl/>
        </w:rPr>
        <w:t xml:space="preserve"> </w:t>
      </w:r>
      <w:r w:rsidRPr="00BA7F61">
        <w:rPr>
          <w:rFonts w:cs="David" w:hint="cs"/>
          <w:rtl/>
        </w:rPr>
        <w:t>הקלט</w:t>
      </w:r>
      <w:r w:rsidRPr="00BA7F61">
        <w:rPr>
          <w:rFonts w:cs="David"/>
          <w:rtl/>
        </w:rPr>
        <w:t xml:space="preserve"> </w:t>
      </w:r>
      <w:r w:rsidRPr="00BA7F61">
        <w:rPr>
          <w:rFonts w:cs="David" w:hint="cs"/>
          <w:rtl/>
        </w:rPr>
        <w:t>האודיו</w:t>
      </w:r>
      <w:r w:rsidRPr="00BA7F61">
        <w:rPr>
          <w:rFonts w:cs="David"/>
          <w:rtl/>
        </w:rPr>
        <w:t xml:space="preserve">- </w:t>
      </w:r>
      <w:r w:rsidRPr="00BA7F61">
        <w:rPr>
          <w:rFonts w:cs="David" w:hint="cs"/>
          <w:rtl/>
        </w:rPr>
        <w:t>ויזואלי</w:t>
      </w:r>
      <w:r w:rsidRPr="00BA7F61">
        <w:rPr>
          <w:rFonts w:cs="David"/>
          <w:rtl/>
        </w:rPr>
        <w:t>(</w:t>
      </w:r>
      <w:r w:rsidRPr="00BA7F61">
        <w:rPr>
          <w:rFonts w:cs="David"/>
        </w:rPr>
        <w:t>PECMA</w:t>
      </w:r>
      <w:r w:rsidRPr="00BA7F61">
        <w:rPr>
          <w:rFonts w:cs="David"/>
          <w:rtl/>
        </w:rPr>
        <w:t>)</w:t>
      </w:r>
      <w:r w:rsidRPr="00BA7F61">
        <w:rPr>
          <w:rFonts w:cs="David" w:hint="cs"/>
          <w:rtl/>
        </w:rPr>
        <w:t>.</w:t>
      </w:r>
      <w:r w:rsidRPr="00BA7F61">
        <w:rPr>
          <w:rFonts w:cs="David"/>
          <w:rtl/>
        </w:rPr>
        <w:t xml:space="preserve"> </w:t>
      </w:r>
    </w:p>
    <w:p w:rsidR="00BA7F61" w:rsidRPr="00BA7F61" w:rsidRDefault="00BA7F61" w:rsidP="00BA7F61">
      <w:pPr>
        <w:rPr>
          <w:rFonts w:cs="David"/>
          <w:rtl/>
        </w:rPr>
      </w:pPr>
    </w:p>
    <w:p w:rsidR="00BA7F61" w:rsidRPr="00BA7F61" w:rsidRDefault="00BA7F61" w:rsidP="00BA7F61">
      <w:pPr>
        <w:rPr>
          <w:rFonts w:cs="David"/>
          <w:b/>
          <w:bCs/>
          <w:rtl/>
        </w:rPr>
      </w:pPr>
      <w:r w:rsidRPr="00BA7F61">
        <w:rPr>
          <w:rFonts w:cs="David" w:hint="cs"/>
          <w:b/>
          <w:bCs/>
          <w:rtl/>
        </w:rPr>
        <w:t xml:space="preserve">סרטים שיידונו בהרחבה בשיעור: </w:t>
      </w:r>
    </w:p>
    <w:p w:rsidR="00BA7F61" w:rsidRPr="00BA7F61" w:rsidRDefault="00BA7F61" w:rsidP="00BA7F61">
      <w:pPr>
        <w:rPr>
          <w:rFonts w:cs="David"/>
          <w:rtl/>
        </w:rPr>
      </w:pPr>
      <w:proofErr w:type="spellStart"/>
      <w:r w:rsidRPr="00BA7F61">
        <w:rPr>
          <w:rFonts w:cs="David" w:hint="cs"/>
          <w:i/>
          <w:iCs/>
          <w:rtl/>
        </w:rPr>
        <w:t>ממנטו</w:t>
      </w:r>
      <w:proofErr w:type="spellEnd"/>
      <w:r w:rsidRPr="00BA7F61">
        <w:rPr>
          <w:rFonts w:cs="David"/>
        </w:rPr>
        <w:t xml:space="preserve"> </w:t>
      </w:r>
      <w:r w:rsidRPr="00BA7F61">
        <w:rPr>
          <w:rFonts w:cs="David" w:hint="cs"/>
          <w:rtl/>
        </w:rPr>
        <w:t>(נולן, 2000)</w:t>
      </w:r>
    </w:p>
    <w:p w:rsidR="00BA7F61" w:rsidRPr="00BA7F61" w:rsidRDefault="00BA7F61" w:rsidP="00BA7F61">
      <w:pPr>
        <w:rPr>
          <w:rFonts w:cs="David"/>
          <w:rtl/>
        </w:rPr>
      </w:pPr>
      <w:proofErr w:type="spellStart"/>
      <w:r w:rsidRPr="00BA7F61">
        <w:rPr>
          <w:rFonts w:cs="David" w:hint="cs"/>
          <w:i/>
          <w:iCs/>
          <w:rtl/>
        </w:rPr>
        <w:t>עג'מי</w:t>
      </w:r>
      <w:proofErr w:type="spellEnd"/>
      <w:r w:rsidRPr="00BA7F61">
        <w:rPr>
          <w:rFonts w:cs="David" w:hint="cs"/>
          <w:rtl/>
        </w:rPr>
        <w:t xml:space="preserve"> (קובטי ושני, 2009)</w:t>
      </w:r>
    </w:p>
    <w:p w:rsidR="00BA7F61" w:rsidRPr="00BA7F61" w:rsidRDefault="00BA7F61" w:rsidP="00BA7F61">
      <w:pPr>
        <w:rPr>
          <w:rFonts w:cs="David"/>
        </w:rPr>
      </w:pPr>
      <w:proofErr w:type="spellStart"/>
      <w:r w:rsidRPr="00BA7F61">
        <w:rPr>
          <w:rFonts w:cs="David" w:hint="cs"/>
          <w:i/>
          <w:iCs/>
          <w:rtl/>
        </w:rPr>
        <w:t>דוגוויל</w:t>
      </w:r>
      <w:proofErr w:type="spellEnd"/>
      <w:r w:rsidRPr="00BA7F61">
        <w:rPr>
          <w:rFonts w:cs="David"/>
          <w:rtl/>
        </w:rPr>
        <w:t xml:space="preserve"> (</w:t>
      </w:r>
      <w:r w:rsidRPr="00BA7F61">
        <w:rPr>
          <w:rFonts w:cs="David" w:hint="cs"/>
          <w:rtl/>
        </w:rPr>
        <w:t>פון-טרייר,</w:t>
      </w:r>
      <w:r w:rsidRPr="00BA7F61">
        <w:rPr>
          <w:rFonts w:cs="David"/>
          <w:rtl/>
        </w:rPr>
        <w:t xml:space="preserve"> 2003)</w:t>
      </w:r>
    </w:p>
    <w:p w:rsidR="00BA7F61" w:rsidRPr="00BA7F61" w:rsidRDefault="00BA7F61" w:rsidP="00BA7F61">
      <w:pPr>
        <w:rPr>
          <w:rFonts w:cs="David"/>
          <w:rtl/>
        </w:rPr>
      </w:pPr>
      <w:r w:rsidRPr="00BA7F61">
        <w:rPr>
          <w:rFonts w:cs="David" w:hint="cs"/>
          <w:i/>
          <w:iCs/>
          <w:rtl/>
        </w:rPr>
        <w:t xml:space="preserve">ואלס עם </w:t>
      </w:r>
      <w:proofErr w:type="spellStart"/>
      <w:r w:rsidRPr="00BA7F61">
        <w:rPr>
          <w:rFonts w:cs="David" w:hint="cs"/>
          <w:i/>
          <w:iCs/>
          <w:rtl/>
        </w:rPr>
        <w:t>באשיר</w:t>
      </w:r>
      <w:proofErr w:type="spellEnd"/>
      <w:r w:rsidRPr="00BA7F61">
        <w:rPr>
          <w:rFonts w:cs="David"/>
          <w:rtl/>
        </w:rPr>
        <w:t xml:space="preserve"> (</w:t>
      </w:r>
      <w:r w:rsidRPr="00BA7F61">
        <w:rPr>
          <w:rFonts w:cs="David" w:hint="cs"/>
          <w:rtl/>
        </w:rPr>
        <w:t>ארי</w:t>
      </w:r>
      <w:r w:rsidRPr="00BA7F61">
        <w:rPr>
          <w:rFonts w:cs="David"/>
          <w:rtl/>
        </w:rPr>
        <w:t xml:space="preserve"> </w:t>
      </w:r>
      <w:proofErr w:type="spellStart"/>
      <w:r w:rsidRPr="00BA7F61">
        <w:rPr>
          <w:rFonts w:cs="David" w:hint="cs"/>
          <w:rtl/>
        </w:rPr>
        <w:t>פולמן</w:t>
      </w:r>
      <w:proofErr w:type="spellEnd"/>
      <w:r w:rsidRPr="00BA7F61">
        <w:rPr>
          <w:rFonts w:cs="David"/>
          <w:rtl/>
        </w:rPr>
        <w:t>, 2008)</w:t>
      </w:r>
    </w:p>
    <w:p w:rsidR="000869BA" w:rsidRPr="00BA7F61" w:rsidRDefault="000869BA" w:rsidP="00BA7F61">
      <w:pPr>
        <w:spacing w:line="360" w:lineRule="auto"/>
        <w:rPr>
          <w:rFonts w:ascii="Arial" w:hAnsi="Arial" w:cs="David"/>
          <w:b/>
          <w:bCs/>
          <w:rtl/>
        </w:rPr>
      </w:pPr>
    </w:p>
    <w:p w:rsidR="007F7338" w:rsidRPr="00C80B74" w:rsidRDefault="007F7338" w:rsidP="00C80B74">
      <w:pPr>
        <w:widowControl w:val="0"/>
        <w:tabs>
          <w:tab w:val="left" w:pos="8460"/>
        </w:tabs>
        <w:autoSpaceDE w:val="0"/>
        <w:autoSpaceDN w:val="0"/>
        <w:adjustRightInd w:val="0"/>
        <w:spacing w:line="320" w:lineRule="exact"/>
        <w:jc w:val="both"/>
        <w:rPr>
          <w:rFonts w:ascii="Arial" w:hAnsi="Arial" w:cs="Arial"/>
          <w:rtl/>
        </w:rPr>
      </w:pPr>
      <w:r w:rsidRPr="00C80B74">
        <w:rPr>
          <w:rFonts w:ascii="Arial" w:hAnsi="Arial" w:cs="Arial"/>
          <w:b/>
          <w:bCs/>
          <w:rtl/>
        </w:rPr>
        <w:t>רשימת ספרות (נתון לשינויים)</w:t>
      </w:r>
      <w:r w:rsidRPr="00C80B74">
        <w:rPr>
          <w:rFonts w:ascii="Arial" w:hAnsi="Arial" w:cs="Arial"/>
          <w:rtl/>
        </w:rPr>
        <w:t xml:space="preserve">  </w:t>
      </w:r>
    </w:p>
    <w:p w:rsidR="000869BA" w:rsidRDefault="000869BA" w:rsidP="000869BA">
      <w:pPr>
        <w:spacing w:line="360" w:lineRule="auto"/>
        <w:jc w:val="center"/>
        <w:rPr>
          <w:rFonts w:cs="David"/>
          <w:b/>
          <w:bCs/>
          <w:rtl/>
        </w:rPr>
      </w:pPr>
      <w:r>
        <w:rPr>
          <w:rFonts w:cs="David" w:hint="cs"/>
          <w:b/>
          <w:bCs/>
          <w:rtl/>
        </w:rPr>
        <w:t>קריאת רקע (לא חובה)</w:t>
      </w:r>
      <w:r>
        <w:rPr>
          <w:rFonts w:cs="David"/>
          <w:b/>
          <w:bCs/>
          <w:rtl/>
        </w:rPr>
        <w:t>:</w:t>
      </w:r>
    </w:p>
    <w:p w:rsidR="00BA7F61" w:rsidRDefault="00BA7F61" w:rsidP="00BA7F61">
      <w:pPr>
        <w:rPr>
          <w:rtl/>
        </w:rPr>
      </w:pPr>
    </w:p>
    <w:p w:rsidR="00BA7F61" w:rsidRPr="00C94C02" w:rsidRDefault="00BA7F61" w:rsidP="00BA7F61">
      <w:pPr>
        <w:numPr>
          <w:ilvl w:val="0"/>
          <w:numId w:val="1"/>
        </w:numPr>
        <w:shd w:val="clear" w:color="auto" w:fill="FFFFFF"/>
        <w:bidi w:val="0"/>
        <w:spacing w:before="100" w:beforeAutospacing="1" w:after="100" w:afterAutospacing="1"/>
        <w:rPr>
          <w:color w:val="000000"/>
          <w:sz w:val="27"/>
          <w:szCs w:val="27"/>
        </w:rPr>
      </w:pPr>
      <w:r w:rsidRPr="00C94C02">
        <w:rPr>
          <w:color w:val="000000"/>
          <w:sz w:val="27"/>
          <w:szCs w:val="27"/>
        </w:rPr>
        <w:t>Anderson, Joseph:</w:t>
      </w:r>
      <w:r w:rsidRPr="00C94C02">
        <w:rPr>
          <w:color w:val="000000"/>
          <w:sz w:val="27"/>
        </w:rPr>
        <w:t> </w:t>
      </w:r>
      <w:r w:rsidRPr="00C94C02">
        <w:rPr>
          <w:i/>
          <w:iCs/>
          <w:color w:val="000000"/>
          <w:sz w:val="27"/>
          <w:szCs w:val="27"/>
        </w:rPr>
        <w:t>The Reality of Illusion: An Ecological Approach to Cognitive Film Theory.</w:t>
      </w:r>
      <w:r w:rsidRPr="00C94C02">
        <w:rPr>
          <w:i/>
          <w:iCs/>
          <w:color w:val="000000"/>
          <w:sz w:val="27"/>
        </w:rPr>
        <w:t> </w:t>
      </w:r>
      <w:r w:rsidRPr="00C94C02">
        <w:rPr>
          <w:color w:val="000000"/>
          <w:sz w:val="27"/>
          <w:szCs w:val="27"/>
        </w:rPr>
        <w:t>Carbondale: Southern Illinois University Press, 1996.</w:t>
      </w:r>
    </w:p>
    <w:p w:rsidR="00BA7F61" w:rsidRDefault="00BA7F61" w:rsidP="00BA7F61">
      <w:pPr>
        <w:numPr>
          <w:ilvl w:val="0"/>
          <w:numId w:val="1"/>
        </w:numPr>
        <w:shd w:val="clear" w:color="auto" w:fill="FFFFFF"/>
        <w:bidi w:val="0"/>
        <w:spacing w:before="100" w:beforeAutospacing="1" w:after="100" w:afterAutospacing="1"/>
        <w:rPr>
          <w:color w:val="000000"/>
          <w:sz w:val="27"/>
          <w:szCs w:val="27"/>
        </w:rPr>
      </w:pPr>
      <w:r w:rsidRPr="00AD33B2">
        <w:rPr>
          <w:color w:val="000000"/>
          <w:sz w:val="27"/>
          <w:szCs w:val="27"/>
        </w:rPr>
        <w:t>Ben</w:t>
      </w:r>
      <w:r>
        <w:rPr>
          <w:color w:val="000000"/>
          <w:sz w:val="27"/>
          <w:szCs w:val="27"/>
        </w:rPr>
        <w:t>-</w:t>
      </w:r>
      <w:proofErr w:type="spellStart"/>
      <w:r>
        <w:rPr>
          <w:color w:val="000000"/>
          <w:sz w:val="27"/>
          <w:szCs w:val="27"/>
        </w:rPr>
        <w:t>Shaul</w:t>
      </w:r>
      <w:proofErr w:type="spellEnd"/>
      <w:r>
        <w:rPr>
          <w:color w:val="000000"/>
          <w:sz w:val="27"/>
          <w:szCs w:val="27"/>
        </w:rPr>
        <w:t xml:space="preserve">, </w:t>
      </w:r>
      <w:proofErr w:type="spellStart"/>
      <w:r>
        <w:rPr>
          <w:color w:val="000000"/>
          <w:sz w:val="27"/>
          <w:szCs w:val="27"/>
        </w:rPr>
        <w:t>Nitzan</w:t>
      </w:r>
      <w:proofErr w:type="spellEnd"/>
      <w:r w:rsidRPr="00AD33B2">
        <w:rPr>
          <w:color w:val="000000"/>
          <w:sz w:val="27"/>
          <w:szCs w:val="27"/>
        </w:rPr>
        <w:t xml:space="preserve">. Cinema of Choice: Optional Thinking and Narrative Movies. </w:t>
      </w:r>
      <w:proofErr w:type="spellStart"/>
      <w:r w:rsidRPr="00AD33B2">
        <w:rPr>
          <w:color w:val="000000"/>
          <w:sz w:val="27"/>
          <w:szCs w:val="27"/>
        </w:rPr>
        <w:t>Berghahn</w:t>
      </w:r>
      <w:proofErr w:type="spellEnd"/>
      <w:r w:rsidRPr="00AD33B2">
        <w:rPr>
          <w:color w:val="000000"/>
          <w:sz w:val="27"/>
          <w:szCs w:val="27"/>
        </w:rPr>
        <w:t xml:space="preserve"> Books, 2012.</w:t>
      </w:r>
    </w:p>
    <w:p w:rsidR="00BA7F61" w:rsidRPr="00C94C02" w:rsidRDefault="00BA7F61" w:rsidP="00BA7F61">
      <w:pPr>
        <w:numPr>
          <w:ilvl w:val="0"/>
          <w:numId w:val="1"/>
        </w:numPr>
        <w:shd w:val="clear" w:color="auto" w:fill="FFFFFF"/>
        <w:bidi w:val="0"/>
        <w:spacing w:before="100" w:beforeAutospacing="1" w:after="100" w:afterAutospacing="1"/>
        <w:rPr>
          <w:color w:val="000000"/>
          <w:sz w:val="27"/>
          <w:szCs w:val="27"/>
        </w:rPr>
      </w:pPr>
      <w:proofErr w:type="spellStart"/>
      <w:r w:rsidRPr="00C94C02">
        <w:rPr>
          <w:color w:val="000000"/>
          <w:sz w:val="27"/>
          <w:szCs w:val="27"/>
        </w:rPr>
        <w:t>Bordwell</w:t>
      </w:r>
      <w:proofErr w:type="spellEnd"/>
      <w:r w:rsidRPr="00C94C02">
        <w:rPr>
          <w:color w:val="000000"/>
          <w:sz w:val="27"/>
          <w:szCs w:val="27"/>
        </w:rPr>
        <w:t>, David–Carroll, Noël (eds.):</w:t>
      </w:r>
      <w:r w:rsidRPr="00C94C02">
        <w:rPr>
          <w:color w:val="000000"/>
          <w:sz w:val="27"/>
        </w:rPr>
        <w:t> </w:t>
      </w:r>
      <w:r w:rsidRPr="00C94C02">
        <w:rPr>
          <w:i/>
          <w:iCs/>
          <w:color w:val="000000"/>
          <w:sz w:val="27"/>
          <w:szCs w:val="27"/>
        </w:rPr>
        <w:t>Post-Theory: Reconstructing Film Studies.</w:t>
      </w:r>
      <w:r w:rsidRPr="00C94C02">
        <w:rPr>
          <w:i/>
          <w:iCs/>
          <w:color w:val="000000"/>
          <w:sz w:val="27"/>
        </w:rPr>
        <w:t> </w:t>
      </w:r>
      <w:r w:rsidRPr="00C94C02">
        <w:rPr>
          <w:color w:val="000000"/>
          <w:sz w:val="27"/>
          <w:szCs w:val="27"/>
        </w:rPr>
        <w:t>Madison: University of Wisconsin Press, 1996.</w:t>
      </w:r>
    </w:p>
    <w:p w:rsidR="00BA7F61" w:rsidRDefault="00BA7F61" w:rsidP="00BA7F61">
      <w:pPr>
        <w:numPr>
          <w:ilvl w:val="0"/>
          <w:numId w:val="1"/>
        </w:numPr>
        <w:shd w:val="clear" w:color="auto" w:fill="FFFFFF"/>
        <w:bidi w:val="0"/>
        <w:spacing w:before="100" w:beforeAutospacing="1" w:after="100" w:afterAutospacing="1"/>
        <w:rPr>
          <w:color w:val="000000"/>
          <w:sz w:val="27"/>
          <w:szCs w:val="27"/>
        </w:rPr>
      </w:pPr>
      <w:proofErr w:type="spellStart"/>
      <w:r w:rsidRPr="00C35CC1">
        <w:rPr>
          <w:color w:val="000000"/>
          <w:sz w:val="27"/>
          <w:szCs w:val="27"/>
        </w:rPr>
        <w:t>Bordwell</w:t>
      </w:r>
      <w:proofErr w:type="spellEnd"/>
      <w:r w:rsidRPr="00C35CC1">
        <w:rPr>
          <w:color w:val="000000"/>
          <w:sz w:val="27"/>
          <w:szCs w:val="27"/>
        </w:rPr>
        <w:t xml:space="preserve">, David: A Case for </w:t>
      </w:r>
      <w:proofErr w:type="spellStart"/>
      <w:r w:rsidRPr="00C35CC1">
        <w:rPr>
          <w:color w:val="000000"/>
          <w:sz w:val="27"/>
          <w:szCs w:val="27"/>
        </w:rPr>
        <w:t>Cognitivism</w:t>
      </w:r>
      <w:proofErr w:type="spellEnd"/>
      <w:r w:rsidRPr="00C35CC1">
        <w:rPr>
          <w:color w:val="000000"/>
          <w:sz w:val="27"/>
          <w:szCs w:val="27"/>
        </w:rPr>
        <w:t>.</w:t>
      </w:r>
      <w:r w:rsidRPr="00C35CC1">
        <w:rPr>
          <w:color w:val="000000"/>
          <w:sz w:val="27"/>
        </w:rPr>
        <w:t> </w:t>
      </w:r>
      <w:r w:rsidRPr="00C35CC1">
        <w:rPr>
          <w:i/>
          <w:iCs/>
          <w:color w:val="000000"/>
          <w:sz w:val="27"/>
          <w:szCs w:val="27"/>
        </w:rPr>
        <w:t>Iris 9</w:t>
      </w:r>
      <w:r w:rsidRPr="00C35CC1">
        <w:rPr>
          <w:color w:val="000000"/>
          <w:sz w:val="27"/>
        </w:rPr>
        <w:t> </w:t>
      </w:r>
      <w:r w:rsidRPr="00C35CC1">
        <w:rPr>
          <w:color w:val="000000"/>
          <w:sz w:val="27"/>
          <w:szCs w:val="27"/>
        </w:rPr>
        <w:t xml:space="preserve">(Spring 1989) no. 9. pp. 11–40. </w:t>
      </w:r>
    </w:p>
    <w:p w:rsidR="00BA7F61" w:rsidRPr="00C35CC1" w:rsidRDefault="00BA7F61" w:rsidP="00BA7F61">
      <w:pPr>
        <w:numPr>
          <w:ilvl w:val="0"/>
          <w:numId w:val="1"/>
        </w:numPr>
        <w:shd w:val="clear" w:color="auto" w:fill="FFFFFF"/>
        <w:bidi w:val="0"/>
        <w:spacing w:before="100" w:beforeAutospacing="1" w:after="100" w:afterAutospacing="1"/>
        <w:rPr>
          <w:color w:val="000000"/>
          <w:sz w:val="27"/>
          <w:szCs w:val="27"/>
        </w:rPr>
      </w:pPr>
      <w:proofErr w:type="spellStart"/>
      <w:r w:rsidRPr="00C35CC1">
        <w:rPr>
          <w:color w:val="000000"/>
          <w:sz w:val="27"/>
          <w:szCs w:val="27"/>
        </w:rPr>
        <w:t>Bordwell</w:t>
      </w:r>
      <w:proofErr w:type="spellEnd"/>
      <w:r w:rsidRPr="00C35CC1">
        <w:rPr>
          <w:color w:val="000000"/>
          <w:sz w:val="27"/>
          <w:szCs w:val="27"/>
        </w:rPr>
        <w:t xml:space="preserve">, David: A Case for </w:t>
      </w:r>
      <w:proofErr w:type="spellStart"/>
      <w:r w:rsidRPr="00C35CC1">
        <w:rPr>
          <w:color w:val="000000"/>
          <w:sz w:val="27"/>
          <w:szCs w:val="27"/>
        </w:rPr>
        <w:t>Cognitivism</w:t>
      </w:r>
      <w:proofErr w:type="spellEnd"/>
      <w:r w:rsidRPr="00C35CC1">
        <w:rPr>
          <w:color w:val="000000"/>
          <w:sz w:val="27"/>
          <w:szCs w:val="27"/>
        </w:rPr>
        <w:t>: Further Reflections.</w:t>
      </w:r>
      <w:r w:rsidRPr="00C35CC1">
        <w:rPr>
          <w:color w:val="000000"/>
          <w:sz w:val="27"/>
        </w:rPr>
        <w:t> </w:t>
      </w:r>
      <w:r w:rsidRPr="00C35CC1">
        <w:rPr>
          <w:i/>
          <w:iCs/>
          <w:color w:val="000000"/>
          <w:sz w:val="27"/>
          <w:szCs w:val="27"/>
        </w:rPr>
        <w:t>Iris</w:t>
      </w:r>
      <w:r w:rsidRPr="00C35CC1">
        <w:rPr>
          <w:i/>
          <w:iCs/>
          <w:color w:val="000000"/>
          <w:sz w:val="27"/>
        </w:rPr>
        <w:t> </w:t>
      </w:r>
      <w:r w:rsidRPr="00C35CC1">
        <w:rPr>
          <w:color w:val="000000"/>
          <w:sz w:val="27"/>
          <w:szCs w:val="27"/>
        </w:rPr>
        <w:t>(Summer 1990) no. 11. pp. 107–112.</w:t>
      </w:r>
    </w:p>
    <w:p w:rsidR="00BA7F61" w:rsidRPr="00C94C02" w:rsidRDefault="00BA7F61" w:rsidP="00BA7F61">
      <w:pPr>
        <w:numPr>
          <w:ilvl w:val="0"/>
          <w:numId w:val="1"/>
        </w:numPr>
        <w:shd w:val="clear" w:color="auto" w:fill="FFFFFF"/>
        <w:bidi w:val="0"/>
        <w:spacing w:before="100" w:beforeAutospacing="1" w:after="100" w:afterAutospacing="1"/>
        <w:rPr>
          <w:color w:val="000000"/>
          <w:sz w:val="27"/>
          <w:szCs w:val="27"/>
        </w:rPr>
      </w:pPr>
      <w:proofErr w:type="spellStart"/>
      <w:r w:rsidRPr="00C94C02">
        <w:rPr>
          <w:color w:val="000000"/>
          <w:sz w:val="27"/>
          <w:szCs w:val="27"/>
        </w:rPr>
        <w:t>Bordwell</w:t>
      </w:r>
      <w:proofErr w:type="spellEnd"/>
      <w:r w:rsidRPr="00C94C02">
        <w:rPr>
          <w:color w:val="000000"/>
          <w:sz w:val="27"/>
          <w:szCs w:val="27"/>
        </w:rPr>
        <w:t>, David: Cognition and Comprehension.</w:t>
      </w:r>
      <w:r w:rsidRPr="00C94C02">
        <w:rPr>
          <w:color w:val="000000"/>
          <w:sz w:val="27"/>
        </w:rPr>
        <w:t> </w:t>
      </w:r>
      <w:r w:rsidRPr="00C94C02">
        <w:rPr>
          <w:i/>
          <w:iCs/>
          <w:color w:val="000000"/>
          <w:sz w:val="27"/>
          <w:szCs w:val="27"/>
        </w:rPr>
        <w:t>Journal of Dramatic Theory and Criticism 6</w:t>
      </w:r>
      <w:r w:rsidRPr="00C94C02">
        <w:rPr>
          <w:color w:val="000000"/>
          <w:sz w:val="27"/>
        </w:rPr>
        <w:t> </w:t>
      </w:r>
      <w:r w:rsidRPr="00C94C02">
        <w:rPr>
          <w:color w:val="000000"/>
          <w:sz w:val="27"/>
          <w:szCs w:val="27"/>
        </w:rPr>
        <w:t>(1992) no. 2.</w:t>
      </w:r>
    </w:p>
    <w:p w:rsidR="00BA7F61" w:rsidRPr="00C94C02" w:rsidRDefault="00BA7F61" w:rsidP="00BA7F61">
      <w:pPr>
        <w:numPr>
          <w:ilvl w:val="0"/>
          <w:numId w:val="1"/>
        </w:numPr>
        <w:shd w:val="clear" w:color="auto" w:fill="FFFFFF"/>
        <w:bidi w:val="0"/>
        <w:spacing w:before="100" w:beforeAutospacing="1" w:after="100" w:afterAutospacing="1"/>
        <w:rPr>
          <w:color w:val="000000"/>
          <w:sz w:val="27"/>
          <w:szCs w:val="27"/>
        </w:rPr>
      </w:pPr>
      <w:proofErr w:type="spellStart"/>
      <w:r w:rsidRPr="00C94C02">
        <w:rPr>
          <w:color w:val="000000"/>
          <w:sz w:val="27"/>
          <w:szCs w:val="27"/>
        </w:rPr>
        <w:t>Bordwell</w:t>
      </w:r>
      <w:proofErr w:type="spellEnd"/>
      <w:r w:rsidRPr="00C94C02">
        <w:rPr>
          <w:color w:val="000000"/>
          <w:sz w:val="27"/>
          <w:szCs w:val="27"/>
        </w:rPr>
        <w:t xml:space="preserve">, David: Cognition, Construction, and Cinematic Vision. In: </w:t>
      </w:r>
      <w:proofErr w:type="spellStart"/>
      <w:r w:rsidRPr="00C94C02">
        <w:rPr>
          <w:color w:val="000000"/>
          <w:sz w:val="27"/>
          <w:szCs w:val="27"/>
        </w:rPr>
        <w:t>Bordwell</w:t>
      </w:r>
      <w:proofErr w:type="spellEnd"/>
      <w:r w:rsidRPr="00C94C02">
        <w:rPr>
          <w:color w:val="000000"/>
          <w:sz w:val="27"/>
          <w:szCs w:val="27"/>
        </w:rPr>
        <w:t>, David–Carroll, Noël (eds.):</w:t>
      </w:r>
      <w:r w:rsidRPr="00C94C02">
        <w:rPr>
          <w:color w:val="000000"/>
          <w:sz w:val="27"/>
        </w:rPr>
        <w:t> </w:t>
      </w:r>
      <w:r w:rsidRPr="00C94C02">
        <w:rPr>
          <w:i/>
          <w:iCs/>
          <w:color w:val="000000"/>
          <w:sz w:val="27"/>
          <w:szCs w:val="27"/>
        </w:rPr>
        <w:t>Post-Theory: Reconstructing Film Studies.</w:t>
      </w:r>
      <w:r w:rsidRPr="00C94C02">
        <w:rPr>
          <w:i/>
          <w:iCs/>
          <w:color w:val="000000"/>
          <w:sz w:val="27"/>
        </w:rPr>
        <w:t> </w:t>
      </w:r>
      <w:r w:rsidRPr="00C94C02">
        <w:rPr>
          <w:color w:val="000000"/>
          <w:sz w:val="27"/>
          <w:szCs w:val="27"/>
        </w:rPr>
        <w:t>Madison: University of Wisconsin Press, 1996. pp. 87–107.</w:t>
      </w:r>
    </w:p>
    <w:p w:rsidR="001C7CD9" w:rsidRDefault="001C7CD9" w:rsidP="00BA7F61">
      <w:pPr>
        <w:numPr>
          <w:ilvl w:val="0"/>
          <w:numId w:val="1"/>
        </w:numPr>
        <w:shd w:val="clear" w:color="auto" w:fill="FFFFFF"/>
        <w:bidi w:val="0"/>
        <w:spacing w:before="100" w:beforeAutospacing="1" w:after="100" w:afterAutospacing="1"/>
        <w:rPr>
          <w:color w:val="000000"/>
          <w:sz w:val="27"/>
          <w:szCs w:val="27"/>
        </w:rPr>
      </w:pPr>
      <w:proofErr w:type="spellStart"/>
      <w:r w:rsidRPr="001C7CD9">
        <w:rPr>
          <w:color w:val="000000"/>
          <w:sz w:val="27"/>
          <w:szCs w:val="27"/>
        </w:rPr>
        <w:lastRenderedPageBreak/>
        <w:t>Branigan</w:t>
      </w:r>
      <w:proofErr w:type="spellEnd"/>
      <w:r w:rsidRPr="001C7CD9">
        <w:rPr>
          <w:color w:val="000000"/>
          <w:sz w:val="27"/>
          <w:szCs w:val="27"/>
        </w:rPr>
        <w:t xml:space="preserve">, Edward: </w:t>
      </w:r>
      <w:r w:rsidRPr="001C7CD9">
        <w:rPr>
          <w:i/>
          <w:iCs/>
          <w:color w:val="000000"/>
          <w:sz w:val="27"/>
          <w:szCs w:val="27"/>
        </w:rPr>
        <w:t>Narrative Comprehension and Film</w:t>
      </w:r>
      <w:r w:rsidRPr="001C7CD9">
        <w:rPr>
          <w:color w:val="000000"/>
          <w:sz w:val="27"/>
          <w:szCs w:val="27"/>
        </w:rPr>
        <w:t xml:space="preserve">. London: </w:t>
      </w:r>
      <w:proofErr w:type="spellStart"/>
      <w:r w:rsidRPr="001C7CD9">
        <w:rPr>
          <w:color w:val="000000"/>
          <w:sz w:val="27"/>
          <w:szCs w:val="27"/>
        </w:rPr>
        <w:t>Routledge</w:t>
      </w:r>
      <w:proofErr w:type="spellEnd"/>
      <w:r w:rsidRPr="001C7CD9">
        <w:rPr>
          <w:color w:val="000000"/>
          <w:sz w:val="27"/>
          <w:szCs w:val="27"/>
        </w:rPr>
        <w:t>, 1992.</w:t>
      </w:r>
    </w:p>
    <w:p w:rsidR="00BA7F61" w:rsidRPr="00C94C02" w:rsidRDefault="00BA7F61" w:rsidP="001C7CD9">
      <w:pPr>
        <w:numPr>
          <w:ilvl w:val="0"/>
          <w:numId w:val="1"/>
        </w:numPr>
        <w:shd w:val="clear" w:color="auto" w:fill="FFFFFF"/>
        <w:bidi w:val="0"/>
        <w:spacing w:before="100" w:beforeAutospacing="1" w:after="100" w:afterAutospacing="1"/>
        <w:rPr>
          <w:color w:val="000000"/>
          <w:sz w:val="27"/>
          <w:szCs w:val="27"/>
        </w:rPr>
      </w:pPr>
      <w:r w:rsidRPr="00C94C02">
        <w:rPr>
          <w:color w:val="000000"/>
          <w:sz w:val="27"/>
          <w:szCs w:val="27"/>
        </w:rPr>
        <w:t>Carroll, Noël: Fiction, Non-Fiction, and the Film of Presumptive Assertion: A Conceptual Analysis. In: Smith, Murray (ed.):</w:t>
      </w:r>
      <w:r w:rsidRPr="00C94C02">
        <w:rPr>
          <w:color w:val="000000"/>
          <w:sz w:val="27"/>
        </w:rPr>
        <w:t> </w:t>
      </w:r>
      <w:r w:rsidRPr="00C94C02">
        <w:rPr>
          <w:i/>
          <w:iCs/>
          <w:color w:val="000000"/>
          <w:sz w:val="27"/>
          <w:szCs w:val="27"/>
        </w:rPr>
        <w:t>Film Theory and Philosophy.</w:t>
      </w:r>
      <w:r w:rsidRPr="00C94C02">
        <w:rPr>
          <w:i/>
          <w:iCs/>
          <w:color w:val="000000"/>
          <w:sz w:val="27"/>
        </w:rPr>
        <w:t> </w:t>
      </w:r>
      <w:r w:rsidRPr="00C94C02">
        <w:rPr>
          <w:color w:val="000000"/>
          <w:sz w:val="27"/>
          <w:szCs w:val="27"/>
        </w:rPr>
        <w:t>Oxford: Clarendon, 1997. pp. 173–202.</w:t>
      </w:r>
    </w:p>
    <w:p w:rsidR="00BA7F61" w:rsidRPr="00C94C02" w:rsidRDefault="00BA7F61" w:rsidP="00BA7F61">
      <w:pPr>
        <w:numPr>
          <w:ilvl w:val="0"/>
          <w:numId w:val="1"/>
        </w:numPr>
        <w:shd w:val="clear" w:color="auto" w:fill="FFFFFF"/>
        <w:bidi w:val="0"/>
        <w:spacing w:before="100" w:beforeAutospacing="1" w:after="100" w:afterAutospacing="1"/>
        <w:rPr>
          <w:color w:val="000000"/>
          <w:sz w:val="27"/>
          <w:szCs w:val="27"/>
        </w:rPr>
      </w:pPr>
      <w:r w:rsidRPr="00C94C02">
        <w:rPr>
          <w:color w:val="000000"/>
          <w:sz w:val="27"/>
          <w:szCs w:val="27"/>
        </w:rPr>
        <w:t>Carroll, Noël:</w:t>
      </w:r>
      <w:r w:rsidRPr="00C94C02">
        <w:rPr>
          <w:color w:val="000000"/>
          <w:sz w:val="27"/>
        </w:rPr>
        <w:t> </w:t>
      </w:r>
      <w:r w:rsidRPr="00C94C02">
        <w:rPr>
          <w:i/>
          <w:iCs/>
          <w:color w:val="000000"/>
          <w:sz w:val="27"/>
          <w:szCs w:val="27"/>
        </w:rPr>
        <w:t>Mystifying Movies: Fads and Fallacies in Contemporary Film Theory.</w:t>
      </w:r>
      <w:r w:rsidRPr="00C94C02">
        <w:rPr>
          <w:i/>
          <w:iCs/>
          <w:color w:val="000000"/>
          <w:sz w:val="27"/>
        </w:rPr>
        <w:t> </w:t>
      </w:r>
      <w:r w:rsidRPr="00C94C02">
        <w:rPr>
          <w:color w:val="000000"/>
          <w:sz w:val="27"/>
          <w:szCs w:val="27"/>
        </w:rPr>
        <w:t>New York: Columbia University Press, 1988.</w:t>
      </w:r>
    </w:p>
    <w:p w:rsidR="00BA7F61" w:rsidRPr="00C94C02" w:rsidRDefault="00BA7F61" w:rsidP="00BA7F61">
      <w:pPr>
        <w:numPr>
          <w:ilvl w:val="0"/>
          <w:numId w:val="1"/>
        </w:numPr>
        <w:shd w:val="clear" w:color="auto" w:fill="FFFFFF"/>
        <w:bidi w:val="0"/>
        <w:spacing w:before="100" w:beforeAutospacing="1" w:after="100" w:afterAutospacing="1"/>
        <w:rPr>
          <w:color w:val="000000"/>
          <w:sz w:val="27"/>
          <w:szCs w:val="27"/>
        </w:rPr>
      </w:pPr>
      <w:r w:rsidRPr="00C94C02">
        <w:rPr>
          <w:color w:val="000000"/>
          <w:sz w:val="27"/>
          <w:szCs w:val="27"/>
        </w:rPr>
        <w:t xml:space="preserve">Carroll, Noël: Towards </w:t>
      </w:r>
      <w:proofErr w:type="gramStart"/>
      <w:r w:rsidRPr="00C94C02">
        <w:rPr>
          <w:color w:val="000000"/>
          <w:sz w:val="27"/>
          <w:szCs w:val="27"/>
        </w:rPr>
        <w:t>an Ontology</w:t>
      </w:r>
      <w:proofErr w:type="gramEnd"/>
      <w:r w:rsidRPr="00C94C02">
        <w:rPr>
          <w:color w:val="000000"/>
          <w:sz w:val="27"/>
          <w:szCs w:val="27"/>
        </w:rPr>
        <w:t xml:space="preserve"> of the Moving Image. In: Freeland, Cynthia </w:t>
      </w:r>
      <w:proofErr w:type="spellStart"/>
      <w:r w:rsidRPr="00C94C02">
        <w:rPr>
          <w:color w:val="000000"/>
          <w:sz w:val="27"/>
          <w:szCs w:val="27"/>
        </w:rPr>
        <w:t>A.–Wartenberg</w:t>
      </w:r>
      <w:proofErr w:type="spellEnd"/>
      <w:r w:rsidRPr="00C94C02">
        <w:rPr>
          <w:color w:val="000000"/>
          <w:sz w:val="27"/>
          <w:szCs w:val="27"/>
        </w:rPr>
        <w:t>, Thomas E. (eds.):</w:t>
      </w:r>
      <w:r w:rsidRPr="00C94C02">
        <w:rPr>
          <w:color w:val="000000"/>
          <w:sz w:val="27"/>
        </w:rPr>
        <w:t> </w:t>
      </w:r>
      <w:r w:rsidRPr="00C94C02">
        <w:rPr>
          <w:i/>
          <w:iCs/>
          <w:color w:val="000000"/>
          <w:sz w:val="27"/>
          <w:szCs w:val="27"/>
        </w:rPr>
        <w:t>Philosophy and Film.</w:t>
      </w:r>
      <w:r w:rsidRPr="00C94C02">
        <w:rPr>
          <w:color w:val="000000"/>
          <w:sz w:val="27"/>
        </w:rPr>
        <w:t> </w:t>
      </w:r>
      <w:r w:rsidRPr="00C94C02">
        <w:rPr>
          <w:color w:val="000000"/>
          <w:sz w:val="27"/>
          <w:szCs w:val="27"/>
        </w:rPr>
        <w:t xml:space="preserve">London: </w:t>
      </w:r>
      <w:proofErr w:type="spellStart"/>
      <w:r w:rsidRPr="00C94C02">
        <w:rPr>
          <w:color w:val="000000"/>
          <w:sz w:val="27"/>
          <w:szCs w:val="27"/>
        </w:rPr>
        <w:t>Routledge</w:t>
      </w:r>
      <w:proofErr w:type="spellEnd"/>
      <w:r w:rsidRPr="00C94C02">
        <w:rPr>
          <w:color w:val="000000"/>
          <w:sz w:val="27"/>
          <w:szCs w:val="27"/>
        </w:rPr>
        <w:t>, 1995. pp. 68–85.</w:t>
      </w:r>
    </w:p>
    <w:p w:rsidR="00BA7F61" w:rsidRPr="00C94C02" w:rsidRDefault="00BA7F61" w:rsidP="00BA7F61">
      <w:pPr>
        <w:numPr>
          <w:ilvl w:val="0"/>
          <w:numId w:val="1"/>
        </w:numPr>
        <w:shd w:val="clear" w:color="auto" w:fill="FFFFFF"/>
        <w:bidi w:val="0"/>
        <w:spacing w:before="100" w:beforeAutospacing="1" w:after="100" w:afterAutospacing="1"/>
        <w:rPr>
          <w:color w:val="000000"/>
          <w:sz w:val="27"/>
          <w:szCs w:val="27"/>
        </w:rPr>
      </w:pPr>
      <w:r w:rsidRPr="00C94C02">
        <w:rPr>
          <w:color w:val="000000"/>
          <w:sz w:val="27"/>
          <w:szCs w:val="27"/>
        </w:rPr>
        <w:t xml:space="preserve">Currie, Gregory: The Paradox of Caring. In: </w:t>
      </w:r>
      <w:proofErr w:type="spellStart"/>
      <w:r w:rsidRPr="00C94C02">
        <w:rPr>
          <w:color w:val="000000"/>
          <w:sz w:val="27"/>
          <w:szCs w:val="27"/>
        </w:rPr>
        <w:t>Hjort</w:t>
      </w:r>
      <w:proofErr w:type="spellEnd"/>
      <w:r w:rsidRPr="00C94C02">
        <w:rPr>
          <w:color w:val="000000"/>
          <w:sz w:val="27"/>
          <w:szCs w:val="27"/>
        </w:rPr>
        <w:t xml:space="preserve">, </w:t>
      </w:r>
      <w:proofErr w:type="spellStart"/>
      <w:r w:rsidRPr="00C94C02">
        <w:rPr>
          <w:color w:val="000000"/>
          <w:sz w:val="27"/>
          <w:szCs w:val="27"/>
        </w:rPr>
        <w:t>Mettje</w:t>
      </w:r>
      <w:proofErr w:type="spellEnd"/>
      <w:r w:rsidRPr="00C94C02">
        <w:rPr>
          <w:color w:val="000000"/>
          <w:sz w:val="27"/>
          <w:szCs w:val="27"/>
        </w:rPr>
        <w:t xml:space="preserve"> (ed.):</w:t>
      </w:r>
      <w:r w:rsidRPr="00C94C02">
        <w:rPr>
          <w:color w:val="000000"/>
          <w:sz w:val="27"/>
        </w:rPr>
        <w:t> </w:t>
      </w:r>
      <w:r w:rsidRPr="00C94C02">
        <w:rPr>
          <w:i/>
          <w:iCs/>
          <w:color w:val="000000"/>
          <w:sz w:val="27"/>
          <w:szCs w:val="27"/>
        </w:rPr>
        <w:t>Fiction and Emotion.</w:t>
      </w:r>
      <w:r w:rsidRPr="00C94C02">
        <w:rPr>
          <w:i/>
          <w:iCs/>
          <w:color w:val="000000"/>
          <w:sz w:val="27"/>
        </w:rPr>
        <w:t> </w:t>
      </w:r>
      <w:r w:rsidRPr="00C94C02">
        <w:rPr>
          <w:color w:val="000000"/>
          <w:sz w:val="27"/>
          <w:szCs w:val="27"/>
        </w:rPr>
        <w:t>Oxford: Oxford University Press, 1996.</w:t>
      </w:r>
    </w:p>
    <w:p w:rsidR="00BA7F61" w:rsidRPr="00C94C02" w:rsidRDefault="00BA7F61" w:rsidP="00BA7F61">
      <w:pPr>
        <w:numPr>
          <w:ilvl w:val="0"/>
          <w:numId w:val="1"/>
        </w:numPr>
        <w:shd w:val="clear" w:color="auto" w:fill="FFFFFF"/>
        <w:bidi w:val="0"/>
        <w:spacing w:before="100" w:beforeAutospacing="1" w:after="100" w:afterAutospacing="1"/>
        <w:rPr>
          <w:color w:val="000000"/>
          <w:sz w:val="27"/>
          <w:szCs w:val="27"/>
        </w:rPr>
      </w:pPr>
      <w:r w:rsidRPr="002552FD">
        <w:rPr>
          <w:color w:val="000000"/>
          <w:sz w:val="27"/>
          <w:szCs w:val="27"/>
        </w:rPr>
        <w:t xml:space="preserve">Currie, Gregory. "Both sides of the story: explaining events in a narrative." </w:t>
      </w:r>
      <w:r w:rsidRPr="002552FD">
        <w:rPr>
          <w:i/>
          <w:iCs/>
          <w:color w:val="000000"/>
          <w:sz w:val="27"/>
          <w:szCs w:val="27"/>
        </w:rPr>
        <w:t>Philosophical Studies</w:t>
      </w:r>
      <w:r w:rsidRPr="002552FD">
        <w:rPr>
          <w:color w:val="000000"/>
          <w:sz w:val="27"/>
          <w:szCs w:val="27"/>
        </w:rPr>
        <w:t xml:space="preserve"> 135.1 (2007): 49-63.</w:t>
      </w:r>
    </w:p>
    <w:p w:rsidR="00BA7F61" w:rsidRPr="00C94C02" w:rsidRDefault="00BA7F61" w:rsidP="00BA7F61">
      <w:pPr>
        <w:numPr>
          <w:ilvl w:val="0"/>
          <w:numId w:val="1"/>
        </w:numPr>
        <w:shd w:val="clear" w:color="auto" w:fill="FFFFFF"/>
        <w:bidi w:val="0"/>
        <w:spacing w:before="100" w:beforeAutospacing="1" w:after="100" w:afterAutospacing="1"/>
        <w:rPr>
          <w:color w:val="000000"/>
          <w:sz w:val="27"/>
          <w:szCs w:val="27"/>
        </w:rPr>
      </w:pPr>
      <w:proofErr w:type="spellStart"/>
      <w:r w:rsidRPr="00C94C02">
        <w:rPr>
          <w:color w:val="000000"/>
          <w:sz w:val="27"/>
          <w:szCs w:val="27"/>
        </w:rPr>
        <w:t>Grodal</w:t>
      </w:r>
      <w:proofErr w:type="spellEnd"/>
      <w:r w:rsidRPr="00C94C02">
        <w:rPr>
          <w:color w:val="000000"/>
          <w:sz w:val="27"/>
          <w:szCs w:val="27"/>
        </w:rPr>
        <w:t xml:space="preserve">, </w:t>
      </w:r>
      <w:proofErr w:type="spellStart"/>
      <w:r w:rsidRPr="00C94C02">
        <w:rPr>
          <w:color w:val="000000"/>
          <w:sz w:val="27"/>
          <w:szCs w:val="27"/>
        </w:rPr>
        <w:t>Torben</w:t>
      </w:r>
      <w:proofErr w:type="spellEnd"/>
      <w:r w:rsidRPr="00C94C02">
        <w:rPr>
          <w:color w:val="000000"/>
          <w:sz w:val="27"/>
          <w:szCs w:val="27"/>
        </w:rPr>
        <w:t>:</w:t>
      </w:r>
      <w:r w:rsidRPr="00C94C02">
        <w:rPr>
          <w:color w:val="000000"/>
          <w:sz w:val="27"/>
        </w:rPr>
        <w:t> </w:t>
      </w:r>
      <w:r w:rsidRPr="00C94C02">
        <w:rPr>
          <w:i/>
          <w:iCs/>
          <w:color w:val="000000"/>
          <w:sz w:val="27"/>
          <w:szCs w:val="27"/>
        </w:rPr>
        <w:t>Moving Pictures: A New Theory of Film Genres, Feeling and Cognition.</w:t>
      </w:r>
      <w:r w:rsidRPr="00C94C02">
        <w:rPr>
          <w:i/>
          <w:iCs/>
          <w:color w:val="000000"/>
          <w:sz w:val="27"/>
        </w:rPr>
        <w:t> </w:t>
      </w:r>
      <w:r w:rsidRPr="00C94C02">
        <w:rPr>
          <w:color w:val="000000"/>
          <w:sz w:val="27"/>
          <w:szCs w:val="27"/>
        </w:rPr>
        <w:t>Oxford: Clarendon Press, 1997.</w:t>
      </w:r>
    </w:p>
    <w:p w:rsidR="00BA7F61" w:rsidRDefault="00BA7F61" w:rsidP="00BA7F61">
      <w:pPr>
        <w:numPr>
          <w:ilvl w:val="0"/>
          <w:numId w:val="1"/>
        </w:numPr>
        <w:shd w:val="clear" w:color="auto" w:fill="FFFFFF"/>
        <w:bidi w:val="0"/>
        <w:spacing w:before="100" w:beforeAutospacing="1" w:after="100" w:afterAutospacing="1"/>
        <w:rPr>
          <w:color w:val="000000"/>
          <w:sz w:val="27"/>
          <w:szCs w:val="27"/>
        </w:rPr>
      </w:pPr>
      <w:proofErr w:type="spellStart"/>
      <w:r w:rsidRPr="009B56BF">
        <w:rPr>
          <w:color w:val="000000"/>
          <w:sz w:val="27"/>
          <w:szCs w:val="27"/>
        </w:rPr>
        <w:t>Grodal</w:t>
      </w:r>
      <w:proofErr w:type="spellEnd"/>
      <w:r w:rsidRPr="009B56BF">
        <w:rPr>
          <w:color w:val="000000"/>
          <w:sz w:val="27"/>
          <w:szCs w:val="27"/>
        </w:rPr>
        <w:t xml:space="preserve">, </w:t>
      </w:r>
      <w:proofErr w:type="spellStart"/>
      <w:r w:rsidRPr="009B56BF">
        <w:rPr>
          <w:color w:val="000000"/>
          <w:sz w:val="27"/>
          <w:szCs w:val="27"/>
        </w:rPr>
        <w:t>Torben</w:t>
      </w:r>
      <w:proofErr w:type="spellEnd"/>
      <w:r w:rsidRPr="009B56BF">
        <w:rPr>
          <w:color w:val="000000"/>
          <w:sz w:val="27"/>
          <w:szCs w:val="27"/>
        </w:rPr>
        <w:t xml:space="preserve"> </w:t>
      </w:r>
      <w:proofErr w:type="spellStart"/>
      <w:r w:rsidRPr="009B56BF">
        <w:rPr>
          <w:color w:val="000000"/>
          <w:sz w:val="27"/>
          <w:szCs w:val="27"/>
        </w:rPr>
        <w:t>Kragh</w:t>
      </w:r>
      <w:proofErr w:type="spellEnd"/>
      <w:r w:rsidRPr="009B56BF">
        <w:rPr>
          <w:color w:val="000000"/>
          <w:sz w:val="27"/>
          <w:szCs w:val="27"/>
        </w:rPr>
        <w:t xml:space="preserve">. </w:t>
      </w:r>
      <w:r w:rsidRPr="009B56BF">
        <w:rPr>
          <w:i/>
          <w:iCs/>
          <w:color w:val="000000"/>
          <w:sz w:val="27"/>
          <w:szCs w:val="27"/>
        </w:rPr>
        <w:t>Embodied visions: Evolution, emotion, culture, and film</w:t>
      </w:r>
      <w:r w:rsidRPr="009B56BF">
        <w:rPr>
          <w:color w:val="000000"/>
          <w:sz w:val="27"/>
          <w:szCs w:val="27"/>
        </w:rPr>
        <w:t>. Oxford University Press, 2009.</w:t>
      </w:r>
    </w:p>
    <w:p w:rsidR="00B10CED" w:rsidRPr="00C94C02" w:rsidRDefault="00B10CED" w:rsidP="00B10CED">
      <w:pPr>
        <w:numPr>
          <w:ilvl w:val="0"/>
          <w:numId w:val="1"/>
        </w:numPr>
        <w:shd w:val="clear" w:color="auto" w:fill="FFFFFF"/>
        <w:bidi w:val="0"/>
        <w:spacing w:before="100" w:beforeAutospacing="1" w:after="100" w:afterAutospacing="1"/>
        <w:rPr>
          <w:color w:val="000000"/>
          <w:sz w:val="27"/>
          <w:szCs w:val="27"/>
        </w:rPr>
      </w:pPr>
      <w:proofErr w:type="spellStart"/>
      <w:r w:rsidRPr="00B10CED">
        <w:rPr>
          <w:color w:val="000000"/>
          <w:sz w:val="27"/>
          <w:szCs w:val="27"/>
        </w:rPr>
        <w:t>Plantinga</w:t>
      </w:r>
      <w:proofErr w:type="spellEnd"/>
      <w:r w:rsidRPr="00B10CED">
        <w:rPr>
          <w:color w:val="000000"/>
          <w:sz w:val="27"/>
          <w:szCs w:val="27"/>
        </w:rPr>
        <w:t xml:space="preserve">, Carl. "The Affective Power of Movies". In </w:t>
      </w:r>
      <w:proofErr w:type="spellStart"/>
      <w:r w:rsidRPr="00B10CED">
        <w:rPr>
          <w:color w:val="000000"/>
          <w:sz w:val="27"/>
          <w:szCs w:val="27"/>
        </w:rPr>
        <w:t>Shimamura</w:t>
      </w:r>
      <w:proofErr w:type="spellEnd"/>
      <w:r w:rsidRPr="00B10CED">
        <w:rPr>
          <w:color w:val="000000"/>
          <w:sz w:val="27"/>
          <w:szCs w:val="27"/>
        </w:rPr>
        <w:t xml:space="preserve">, Arthur P., ed. </w:t>
      </w:r>
      <w:proofErr w:type="spellStart"/>
      <w:r w:rsidRPr="00B10CED">
        <w:rPr>
          <w:i/>
          <w:iCs/>
          <w:color w:val="000000"/>
          <w:sz w:val="27"/>
          <w:szCs w:val="27"/>
        </w:rPr>
        <w:t>Psychocinematics</w:t>
      </w:r>
      <w:proofErr w:type="spellEnd"/>
      <w:r w:rsidRPr="00B10CED">
        <w:rPr>
          <w:i/>
          <w:iCs/>
          <w:color w:val="000000"/>
          <w:sz w:val="27"/>
          <w:szCs w:val="27"/>
        </w:rPr>
        <w:t>: Exploring Cognition at the Movies</w:t>
      </w:r>
      <w:r w:rsidRPr="00B10CED">
        <w:rPr>
          <w:color w:val="000000"/>
          <w:sz w:val="27"/>
          <w:szCs w:val="27"/>
        </w:rPr>
        <w:t>. Oxford University Press, 2013.</w:t>
      </w:r>
    </w:p>
    <w:p w:rsidR="005E461C" w:rsidRDefault="00174011" w:rsidP="001F2FCB">
      <w:pPr>
        <w:numPr>
          <w:ilvl w:val="0"/>
          <w:numId w:val="1"/>
        </w:numPr>
        <w:shd w:val="clear" w:color="auto" w:fill="FFFFFF"/>
        <w:bidi w:val="0"/>
        <w:spacing w:before="100" w:beforeAutospacing="1" w:after="100" w:afterAutospacing="1"/>
        <w:rPr>
          <w:color w:val="000000"/>
          <w:sz w:val="27"/>
          <w:szCs w:val="27"/>
        </w:rPr>
      </w:pPr>
      <w:r w:rsidRPr="00174011">
        <w:rPr>
          <w:color w:val="000000"/>
          <w:sz w:val="27"/>
          <w:szCs w:val="27"/>
        </w:rPr>
        <w:t xml:space="preserve">Smith, Murray. </w:t>
      </w:r>
      <w:r w:rsidRPr="00AD628C">
        <w:rPr>
          <w:i/>
          <w:iCs/>
          <w:color w:val="000000"/>
          <w:sz w:val="27"/>
          <w:szCs w:val="27"/>
        </w:rPr>
        <w:t>Engaging characters: Fiction, emotion, and the cinema</w:t>
      </w:r>
      <w:r w:rsidRPr="00174011">
        <w:rPr>
          <w:color w:val="000000"/>
          <w:sz w:val="27"/>
          <w:szCs w:val="27"/>
        </w:rPr>
        <w:t xml:space="preserve">. Oxford: Clarendon Press, 1995. </w:t>
      </w:r>
    </w:p>
    <w:p w:rsidR="00BA7F61" w:rsidRPr="00C94C02" w:rsidRDefault="00BA7F61" w:rsidP="005E461C">
      <w:pPr>
        <w:numPr>
          <w:ilvl w:val="0"/>
          <w:numId w:val="1"/>
        </w:numPr>
        <w:shd w:val="clear" w:color="auto" w:fill="FFFFFF"/>
        <w:bidi w:val="0"/>
        <w:spacing w:before="100" w:beforeAutospacing="1" w:after="100" w:afterAutospacing="1"/>
        <w:rPr>
          <w:color w:val="000000"/>
          <w:sz w:val="27"/>
          <w:szCs w:val="27"/>
        </w:rPr>
      </w:pPr>
      <w:r w:rsidRPr="00C94C02">
        <w:rPr>
          <w:color w:val="000000"/>
          <w:sz w:val="27"/>
          <w:szCs w:val="27"/>
        </w:rPr>
        <w:t>Tan, Ed S.:</w:t>
      </w:r>
      <w:r w:rsidRPr="00C94C02">
        <w:rPr>
          <w:color w:val="000000"/>
          <w:sz w:val="27"/>
        </w:rPr>
        <w:t> </w:t>
      </w:r>
      <w:r w:rsidRPr="00C94C02">
        <w:rPr>
          <w:i/>
          <w:iCs/>
          <w:color w:val="000000"/>
          <w:sz w:val="27"/>
          <w:szCs w:val="27"/>
        </w:rPr>
        <w:t>Emotion and the Structure of the Narrative Film.</w:t>
      </w:r>
      <w:r w:rsidRPr="00C94C02">
        <w:rPr>
          <w:i/>
          <w:iCs/>
          <w:color w:val="000000"/>
          <w:sz w:val="27"/>
        </w:rPr>
        <w:t> </w:t>
      </w:r>
      <w:r w:rsidRPr="00C94C02">
        <w:rPr>
          <w:color w:val="000000"/>
          <w:sz w:val="27"/>
          <w:szCs w:val="27"/>
        </w:rPr>
        <w:t xml:space="preserve">Hillsdale, </w:t>
      </w:r>
      <w:proofErr w:type="gramStart"/>
      <w:r w:rsidRPr="00C94C02">
        <w:rPr>
          <w:color w:val="000000"/>
          <w:sz w:val="27"/>
          <w:szCs w:val="27"/>
        </w:rPr>
        <w:t>NJ.:</w:t>
      </w:r>
      <w:proofErr w:type="gramEnd"/>
      <w:r w:rsidRPr="00C94C02">
        <w:rPr>
          <w:color w:val="000000"/>
          <w:sz w:val="27"/>
          <w:szCs w:val="27"/>
        </w:rPr>
        <w:t xml:space="preserve"> Lawrence Erlbaum, 1996.</w:t>
      </w:r>
    </w:p>
    <w:p w:rsidR="000869BA" w:rsidRPr="001C499E" w:rsidRDefault="000869BA" w:rsidP="000869BA">
      <w:pPr>
        <w:bidi w:val="0"/>
        <w:spacing w:line="276" w:lineRule="auto"/>
        <w:rPr>
          <w:rFonts w:ascii="Baskerville Old Face" w:hAnsi="Baskerville Old Face" w:cs="Courier New"/>
          <w:rtl/>
        </w:rPr>
      </w:pPr>
    </w:p>
    <w:p w:rsidR="007F7338" w:rsidRPr="00C80B74" w:rsidRDefault="007F7338" w:rsidP="00C80B74">
      <w:pPr>
        <w:widowControl w:val="0"/>
        <w:tabs>
          <w:tab w:val="left" w:pos="8460"/>
        </w:tabs>
        <w:autoSpaceDE w:val="0"/>
        <w:autoSpaceDN w:val="0"/>
        <w:adjustRightInd w:val="0"/>
        <w:spacing w:line="320" w:lineRule="exact"/>
        <w:jc w:val="both"/>
        <w:rPr>
          <w:rFonts w:ascii="Arial" w:hAnsi="Arial" w:cs="Arial"/>
          <w:b/>
          <w:bCs/>
          <w:rtl/>
        </w:rPr>
      </w:pPr>
      <w:r w:rsidRPr="00C80B74">
        <w:rPr>
          <w:rFonts w:ascii="Arial" w:hAnsi="Arial" w:cs="Arial"/>
          <w:b/>
          <w:bCs/>
          <w:rtl/>
        </w:rPr>
        <w:t xml:space="preserve"> </w:t>
      </w:r>
    </w:p>
    <w:sectPr w:rsidR="007F7338" w:rsidRPr="00C80B74" w:rsidSect="00C93A43">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89B" w:rsidRDefault="00FC589B" w:rsidP="000869BA">
      <w:r>
        <w:separator/>
      </w:r>
    </w:p>
  </w:endnote>
  <w:endnote w:type="continuationSeparator" w:id="0">
    <w:p w:rsidR="00FC589B" w:rsidRDefault="00FC589B" w:rsidP="000869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89B" w:rsidRDefault="00FC589B" w:rsidP="000869BA">
      <w:r>
        <w:separator/>
      </w:r>
    </w:p>
  </w:footnote>
  <w:footnote w:type="continuationSeparator" w:id="0">
    <w:p w:rsidR="00FC589B" w:rsidRDefault="00FC589B" w:rsidP="000869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2A22B6"/>
    <w:multiLevelType w:val="multilevel"/>
    <w:tmpl w:val="8B64E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20"/>
  <w:noPunctuationKerning/>
  <w:characterSpacingControl w:val="doNotCompress"/>
  <w:footnotePr>
    <w:footnote w:id="-1"/>
    <w:footnote w:id="0"/>
  </w:footnotePr>
  <w:endnotePr>
    <w:endnote w:id="-1"/>
    <w:endnote w:id="0"/>
  </w:endnotePr>
  <w:compat>
    <w:applyBreakingRules/>
  </w:compat>
  <w:rsids>
    <w:rsidRoot w:val="000B059A"/>
    <w:rsid w:val="000869BA"/>
    <w:rsid w:val="000B059A"/>
    <w:rsid w:val="00174011"/>
    <w:rsid w:val="001C7CD9"/>
    <w:rsid w:val="001F2FCB"/>
    <w:rsid w:val="002D578C"/>
    <w:rsid w:val="003125AF"/>
    <w:rsid w:val="0037332A"/>
    <w:rsid w:val="00387DA0"/>
    <w:rsid w:val="00467185"/>
    <w:rsid w:val="00490372"/>
    <w:rsid w:val="004E7D4E"/>
    <w:rsid w:val="005E461C"/>
    <w:rsid w:val="006A48E0"/>
    <w:rsid w:val="006C4A54"/>
    <w:rsid w:val="006C5595"/>
    <w:rsid w:val="007F7338"/>
    <w:rsid w:val="008A71EB"/>
    <w:rsid w:val="009B4C3B"/>
    <w:rsid w:val="009C2E8F"/>
    <w:rsid w:val="00A0026E"/>
    <w:rsid w:val="00A04D1E"/>
    <w:rsid w:val="00A52C34"/>
    <w:rsid w:val="00A81138"/>
    <w:rsid w:val="00AD628C"/>
    <w:rsid w:val="00B0309C"/>
    <w:rsid w:val="00B10CED"/>
    <w:rsid w:val="00B4031D"/>
    <w:rsid w:val="00B62878"/>
    <w:rsid w:val="00BA10ED"/>
    <w:rsid w:val="00BA1503"/>
    <w:rsid w:val="00BA7F61"/>
    <w:rsid w:val="00BE0C75"/>
    <w:rsid w:val="00C80B74"/>
    <w:rsid w:val="00C852E2"/>
    <w:rsid w:val="00C929D5"/>
    <w:rsid w:val="00C93A43"/>
    <w:rsid w:val="00CF554A"/>
    <w:rsid w:val="00D04FC5"/>
    <w:rsid w:val="00DC7B34"/>
    <w:rsid w:val="00E70D73"/>
    <w:rsid w:val="00F02850"/>
    <w:rsid w:val="00FC589B"/>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7338"/>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80B74"/>
    <w:rPr>
      <w:rFonts w:ascii="Tahoma" w:hAnsi="Tahoma" w:cs="Tahoma"/>
      <w:sz w:val="16"/>
      <w:szCs w:val="16"/>
    </w:rPr>
  </w:style>
  <w:style w:type="paragraph" w:styleId="FootnoteText">
    <w:name w:val="footnote text"/>
    <w:basedOn w:val="Normal"/>
    <w:link w:val="FootnoteTextChar"/>
    <w:uiPriority w:val="99"/>
    <w:unhideWhenUsed/>
    <w:rsid w:val="000869BA"/>
    <w:rPr>
      <w:sz w:val="20"/>
      <w:szCs w:val="20"/>
      <w:lang w:eastAsia="he-IL"/>
    </w:rPr>
  </w:style>
  <w:style w:type="character" w:customStyle="1" w:styleId="FootnoteTextChar">
    <w:name w:val="Footnote Text Char"/>
    <w:basedOn w:val="DefaultParagraphFont"/>
    <w:link w:val="FootnoteText"/>
    <w:uiPriority w:val="99"/>
    <w:rsid w:val="000869BA"/>
    <w:rPr>
      <w:lang w:eastAsia="he-IL"/>
    </w:rPr>
  </w:style>
  <w:style w:type="character" w:styleId="FootnoteReference">
    <w:name w:val="footnote reference"/>
    <w:basedOn w:val="DefaultParagraphFont"/>
    <w:uiPriority w:val="99"/>
    <w:unhideWhenUsed/>
    <w:rsid w:val="000869BA"/>
    <w:rPr>
      <w:vertAlign w:val="superscript"/>
    </w:rPr>
  </w:style>
  <w:style w:type="character" w:styleId="Hyperlink">
    <w:name w:val="Hyperlink"/>
    <w:basedOn w:val="DefaultParagraphFont"/>
    <w:rsid w:val="000869B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805</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טופס סילבוס</vt:lpstr>
    </vt:vector>
  </TitlesOfParts>
  <Company/>
  <LinksUpToDate>false</LinksUpToDate>
  <CharactersWithSpaces>4824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טופס סילבוס</dc:title>
  <dc:creator>Nitzan Ben-Shaul</dc:creator>
  <cp:lastModifiedBy>Noa</cp:lastModifiedBy>
  <cp:revision>5</cp:revision>
  <cp:lastPrinted>2007-05-13T10:04:00Z</cp:lastPrinted>
  <dcterms:created xsi:type="dcterms:W3CDTF">2013-10-13T19:22:00Z</dcterms:created>
  <dcterms:modified xsi:type="dcterms:W3CDTF">2015-10-31T16:13:00Z</dcterms:modified>
</cp:coreProperties>
</file>