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EFA" w:rsidRPr="004D2B0E" w:rsidRDefault="001B2EFA" w:rsidP="001B2EFA">
      <w:pPr>
        <w:spacing w:line="276" w:lineRule="auto"/>
        <w:jc w:val="center"/>
        <w:rPr>
          <w:rFonts w:asciiTheme="minorHAnsi" w:eastAsiaTheme="minorHAnsi" w:hAnsiTheme="minorHAnsi" w:cstheme="minorBidi"/>
          <w:sz w:val="32"/>
          <w:szCs w:val="32"/>
          <w:rtl/>
        </w:rPr>
      </w:pPr>
      <w:r w:rsidRPr="004D2B0E"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>1880.0628</w:t>
      </w:r>
      <w:r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 xml:space="preserve"> </w:t>
      </w:r>
      <w:r w:rsidRPr="00DB7004">
        <w:rPr>
          <w:rFonts w:asciiTheme="minorHAnsi" w:eastAsiaTheme="minorHAnsi" w:hAnsiTheme="minorHAnsi" w:cstheme="minorBidi"/>
          <w:b/>
          <w:bCs/>
          <w:sz w:val="32"/>
          <w:szCs w:val="32"/>
          <w:rtl/>
        </w:rPr>
        <w:t>(תש"</w:t>
      </w:r>
      <w:r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>פ</w:t>
      </w:r>
      <w:r w:rsidRPr="00DB7004">
        <w:rPr>
          <w:rFonts w:asciiTheme="minorHAnsi" w:eastAsiaTheme="minorHAnsi" w:hAnsiTheme="minorHAnsi" w:cstheme="minorBidi"/>
          <w:b/>
          <w:bCs/>
          <w:sz w:val="32"/>
          <w:szCs w:val="32"/>
          <w:rtl/>
        </w:rPr>
        <w:t>)</w:t>
      </w:r>
      <w:r>
        <w:rPr>
          <w:rFonts w:ascii="Arial" w:hAnsi="Arial" w:cs="Arial"/>
          <w:b/>
          <w:bCs/>
          <w:color w:val="333333"/>
          <w:sz w:val="32"/>
          <w:szCs w:val="32"/>
          <w:rtl/>
        </w:rPr>
        <w:t xml:space="preserve">  </w:t>
      </w:r>
      <w:r w:rsidRPr="004D2B0E"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 xml:space="preserve">  - פרופ' משה צוקרמן</w:t>
      </w:r>
    </w:p>
    <w:p w:rsidR="001B2EFA" w:rsidRPr="004D2B0E" w:rsidRDefault="001B2EFA" w:rsidP="001B2EFA">
      <w:pPr>
        <w:tabs>
          <w:tab w:val="left" w:pos="2996"/>
          <w:tab w:val="left" w:pos="3116"/>
        </w:tabs>
        <w:spacing w:line="276" w:lineRule="auto"/>
        <w:jc w:val="center"/>
        <w:rPr>
          <w:rFonts w:asciiTheme="minorHAnsi" w:eastAsiaTheme="minorHAnsi" w:hAnsiTheme="minorHAnsi" w:cstheme="minorBidi"/>
          <w:b/>
          <w:bCs/>
          <w:sz w:val="40"/>
          <w:szCs w:val="40"/>
          <w:rtl/>
        </w:rPr>
      </w:pPr>
      <w:r>
        <w:rPr>
          <w:rFonts w:asciiTheme="minorHAnsi" w:eastAsiaTheme="minorHAnsi" w:hAnsiTheme="minorHAnsi" w:cs="Arial" w:hint="cs"/>
          <w:b/>
          <w:bCs/>
          <w:sz w:val="40"/>
          <w:szCs w:val="40"/>
          <w:rtl/>
        </w:rPr>
        <w:t>מ</w:t>
      </w:r>
      <w:r w:rsidRPr="004D2B0E">
        <w:rPr>
          <w:rFonts w:asciiTheme="minorHAnsi" w:eastAsiaTheme="minorHAnsi" w:hAnsiTheme="minorHAnsi" w:cs="Arial" w:hint="cs"/>
          <w:b/>
          <w:bCs/>
          <w:sz w:val="40"/>
          <w:szCs w:val="40"/>
          <w:rtl/>
        </w:rPr>
        <w:t>בוא</w:t>
      </w:r>
      <w:r w:rsidRPr="004D2B0E">
        <w:rPr>
          <w:rFonts w:asciiTheme="minorHAnsi" w:eastAsiaTheme="minorHAnsi" w:hAnsiTheme="minorHAnsi" w:cs="Arial"/>
          <w:b/>
          <w:bCs/>
          <w:sz w:val="40"/>
          <w:szCs w:val="40"/>
          <w:rtl/>
        </w:rPr>
        <w:t xml:space="preserve"> </w:t>
      </w:r>
      <w:r w:rsidRPr="004D2B0E">
        <w:rPr>
          <w:rFonts w:asciiTheme="minorHAnsi" w:eastAsiaTheme="minorHAnsi" w:hAnsiTheme="minorHAnsi" w:cs="Arial" w:hint="cs"/>
          <w:b/>
          <w:bCs/>
          <w:sz w:val="40"/>
          <w:szCs w:val="40"/>
          <w:rtl/>
        </w:rPr>
        <w:t>לסוציולוגיה</w:t>
      </w:r>
      <w:r w:rsidRPr="004D2B0E">
        <w:rPr>
          <w:rFonts w:asciiTheme="minorHAnsi" w:eastAsiaTheme="minorHAnsi" w:hAnsiTheme="minorHAnsi" w:cs="Arial"/>
          <w:b/>
          <w:bCs/>
          <w:sz w:val="40"/>
          <w:szCs w:val="40"/>
          <w:rtl/>
        </w:rPr>
        <w:t xml:space="preserve"> </w:t>
      </w:r>
      <w:r w:rsidRPr="004D2B0E">
        <w:rPr>
          <w:rFonts w:asciiTheme="minorHAnsi" w:eastAsiaTheme="minorHAnsi" w:hAnsiTheme="minorHAnsi" w:cs="Arial" w:hint="cs"/>
          <w:b/>
          <w:bCs/>
          <w:sz w:val="40"/>
          <w:szCs w:val="40"/>
          <w:rtl/>
        </w:rPr>
        <w:t>של</w:t>
      </w:r>
      <w:r w:rsidRPr="004D2B0E">
        <w:rPr>
          <w:rFonts w:asciiTheme="minorHAnsi" w:eastAsiaTheme="minorHAnsi" w:hAnsiTheme="minorHAnsi" w:cs="Arial"/>
          <w:b/>
          <w:bCs/>
          <w:sz w:val="40"/>
          <w:szCs w:val="40"/>
          <w:rtl/>
        </w:rPr>
        <w:t xml:space="preserve"> </w:t>
      </w:r>
      <w:r w:rsidRPr="004D2B0E">
        <w:rPr>
          <w:rFonts w:asciiTheme="minorHAnsi" w:eastAsiaTheme="minorHAnsi" w:hAnsiTheme="minorHAnsi" w:cs="Arial" w:hint="cs"/>
          <w:b/>
          <w:bCs/>
          <w:sz w:val="40"/>
          <w:szCs w:val="40"/>
          <w:rtl/>
        </w:rPr>
        <w:t>האמנות</w:t>
      </w:r>
    </w:p>
    <w:p w:rsidR="001B2EFA" w:rsidRPr="004D2B0E" w:rsidRDefault="001B2EFA" w:rsidP="001B2EFA">
      <w:pPr>
        <w:spacing w:line="276" w:lineRule="auto"/>
        <w:jc w:val="center"/>
        <w:rPr>
          <w:rFonts w:asciiTheme="minorHAnsi" w:eastAsiaTheme="minorHAnsi" w:hAnsiTheme="minorHAnsi" w:cstheme="minorBidi"/>
          <w:b/>
          <w:bCs/>
          <w:sz w:val="40"/>
          <w:szCs w:val="40"/>
          <w:rtl/>
        </w:rPr>
      </w:pPr>
      <w:r w:rsidRPr="004D2B0E">
        <w:rPr>
          <w:rFonts w:asciiTheme="minorHAnsi" w:eastAsiaTheme="minorHAnsi" w:hAnsiTheme="minorHAnsi" w:cstheme="minorBidi"/>
          <w:b/>
          <w:bCs/>
          <w:sz w:val="40"/>
          <w:szCs w:val="40"/>
        </w:rPr>
        <w:t>Introduction to Sociology of Art</w:t>
      </w:r>
    </w:p>
    <w:p w:rsidR="001B2EFA" w:rsidRPr="009674B8" w:rsidRDefault="001B2EFA" w:rsidP="001B2EFA">
      <w:pPr>
        <w:spacing w:line="276" w:lineRule="auto"/>
        <w:rPr>
          <w:rFonts w:cs="David"/>
          <w:sz w:val="28"/>
          <w:szCs w:val="28"/>
          <w:rtl/>
        </w:rPr>
      </w:pPr>
    </w:p>
    <w:p w:rsidR="001B2EFA" w:rsidRDefault="001B2EFA" w:rsidP="001B2EFA">
      <w:pPr>
        <w:spacing w:line="276" w:lineRule="auto"/>
        <w:jc w:val="both"/>
        <w:rPr>
          <w:rFonts w:cs="David"/>
          <w:b/>
          <w:bCs/>
          <w:sz w:val="28"/>
          <w:szCs w:val="32"/>
          <w:u w:val="single"/>
          <w:rtl/>
        </w:rPr>
      </w:pPr>
      <w:r w:rsidRPr="008F7D54">
        <w:rPr>
          <w:rFonts w:cs="David"/>
          <w:b/>
          <w:bCs/>
          <w:sz w:val="28"/>
          <w:szCs w:val="32"/>
          <w:u w:val="single"/>
          <w:rtl/>
        </w:rPr>
        <w:t>תיאור הקורס</w:t>
      </w:r>
      <w:r w:rsidRPr="008F7D54">
        <w:rPr>
          <w:rFonts w:cs="David"/>
          <w:b/>
          <w:bCs/>
          <w:sz w:val="28"/>
          <w:szCs w:val="32"/>
          <w:u w:val="single"/>
        </w:rPr>
        <w:t>:</w:t>
      </w:r>
    </w:p>
    <w:p w:rsidR="001B2EFA" w:rsidRDefault="001B2EFA" w:rsidP="001B2EFA">
      <w:pPr>
        <w:spacing w:line="276" w:lineRule="auto"/>
        <w:jc w:val="both"/>
        <w:rPr>
          <w:rFonts w:cs="David"/>
          <w:rtl/>
        </w:rPr>
      </w:pPr>
    </w:p>
    <w:p w:rsidR="001B2EFA" w:rsidRPr="001B2EFA" w:rsidRDefault="001B2EFA" w:rsidP="001B2EFA">
      <w:pPr>
        <w:spacing w:line="276" w:lineRule="auto"/>
        <w:jc w:val="both"/>
        <w:rPr>
          <w:rFonts w:cs="David"/>
          <w:sz w:val="26"/>
          <w:szCs w:val="26"/>
          <w:rtl/>
        </w:rPr>
      </w:pPr>
      <w:r w:rsidRPr="001B2EFA">
        <w:rPr>
          <w:rFonts w:cs="David"/>
          <w:sz w:val="26"/>
          <w:szCs w:val="26"/>
          <w:rtl/>
        </w:rPr>
        <w:t>הקורס יעסוק בקשר שבין חברה ואמנות, כפי שמצא את ביטויו בהגות ובשיח של המאה ה-20. כצ</w:t>
      </w:r>
      <w:bookmarkStart w:id="0" w:name="_GoBack"/>
      <w:bookmarkEnd w:id="0"/>
      <w:r w:rsidRPr="001B2EFA">
        <w:rPr>
          <w:rFonts w:cs="David"/>
          <w:sz w:val="26"/>
          <w:szCs w:val="26"/>
          <w:rtl/>
        </w:rPr>
        <w:t xml:space="preserve">יר מפתח להצגת הקו העיוני בנושא זה תשמש הגותם של תיאודור </w:t>
      </w:r>
      <w:proofErr w:type="spellStart"/>
      <w:r w:rsidRPr="001B2EFA">
        <w:rPr>
          <w:rFonts w:cs="David"/>
          <w:sz w:val="26"/>
          <w:szCs w:val="26"/>
          <w:rtl/>
        </w:rPr>
        <w:t>אדורנו</w:t>
      </w:r>
      <w:proofErr w:type="spellEnd"/>
      <w:r w:rsidRPr="001B2EFA">
        <w:rPr>
          <w:rFonts w:cs="David"/>
          <w:sz w:val="26"/>
          <w:szCs w:val="26"/>
          <w:rtl/>
        </w:rPr>
        <w:t xml:space="preserve">, ואלטר בנימין, </w:t>
      </w:r>
      <w:proofErr w:type="spellStart"/>
      <w:r w:rsidRPr="001B2EFA">
        <w:rPr>
          <w:rFonts w:cs="David"/>
          <w:sz w:val="26"/>
          <w:szCs w:val="26"/>
          <w:rtl/>
        </w:rPr>
        <w:t>אומברטו</w:t>
      </w:r>
      <w:proofErr w:type="spellEnd"/>
      <w:r w:rsidRPr="001B2EFA">
        <w:rPr>
          <w:rFonts w:cs="David"/>
          <w:sz w:val="26"/>
          <w:szCs w:val="26"/>
          <w:rtl/>
        </w:rPr>
        <w:t xml:space="preserve"> אקו ופייר </w:t>
      </w:r>
      <w:proofErr w:type="spellStart"/>
      <w:r w:rsidRPr="001B2EFA">
        <w:rPr>
          <w:rFonts w:cs="David"/>
          <w:sz w:val="26"/>
          <w:szCs w:val="26"/>
          <w:rtl/>
        </w:rPr>
        <w:t>בורדייה</w:t>
      </w:r>
      <w:proofErr w:type="spellEnd"/>
      <w:r w:rsidRPr="001B2EFA">
        <w:rPr>
          <w:rFonts w:cs="David"/>
          <w:sz w:val="26"/>
          <w:szCs w:val="26"/>
          <w:rtl/>
        </w:rPr>
        <w:t xml:space="preserve"> – מסכת תיאורטית שתבקש לעמוד בעיקרה על המעבר שחל בשיח זה מהדיון באובייקט האמנותי לדיון בהתקבלותו ע"י </w:t>
      </w:r>
      <w:proofErr w:type="spellStart"/>
      <w:r w:rsidRPr="001B2EFA">
        <w:rPr>
          <w:rFonts w:cs="David"/>
          <w:sz w:val="26"/>
          <w:szCs w:val="26"/>
          <w:rtl/>
        </w:rPr>
        <w:t>הרציפיינט</w:t>
      </w:r>
      <w:proofErr w:type="spellEnd"/>
      <w:r w:rsidRPr="001B2EFA">
        <w:rPr>
          <w:rFonts w:cs="David"/>
          <w:sz w:val="26"/>
          <w:szCs w:val="26"/>
          <w:rtl/>
        </w:rPr>
        <w:t xml:space="preserve"> של יצירת האמנות ובמעמדו של הקהל בהקשר זה. בתוך כך יידונו נושאים תיאורטיים ואמפיריים</w:t>
      </w:r>
      <w:r w:rsidRPr="001B2EFA">
        <w:rPr>
          <w:rFonts w:cs="David" w:hint="cs"/>
          <w:sz w:val="26"/>
          <w:szCs w:val="26"/>
          <w:rtl/>
        </w:rPr>
        <w:t xml:space="preserve"> כאחד.</w:t>
      </w:r>
      <w:r w:rsidRPr="001B2EFA">
        <w:rPr>
          <w:rFonts w:cs="David"/>
          <w:sz w:val="26"/>
          <w:szCs w:val="26"/>
          <w:rtl/>
        </w:rPr>
        <w:t xml:space="preserve"> </w:t>
      </w:r>
    </w:p>
    <w:p w:rsidR="001B2EFA" w:rsidRDefault="001B2EFA" w:rsidP="001B2EFA">
      <w:pPr>
        <w:spacing w:line="276" w:lineRule="auto"/>
        <w:rPr>
          <w:rFonts w:cs="David"/>
          <w:b/>
          <w:bCs/>
          <w:sz w:val="28"/>
          <w:szCs w:val="28"/>
          <w:u w:val="single"/>
          <w:rtl/>
        </w:rPr>
      </w:pPr>
    </w:p>
    <w:p w:rsidR="001B2EFA" w:rsidRDefault="001B2EFA" w:rsidP="001B2EFA">
      <w:pPr>
        <w:spacing w:line="276" w:lineRule="auto"/>
        <w:rPr>
          <w:rFonts w:cs="David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קבלת קרדיט</w:t>
      </w:r>
      <w:r>
        <w:rPr>
          <w:rFonts w:cs="David" w:hint="cs"/>
          <w:rtl/>
        </w:rPr>
        <w:t xml:space="preserve">: </w:t>
      </w:r>
      <w:r>
        <w:rPr>
          <w:rFonts w:cs="David"/>
          <w:rtl/>
        </w:rPr>
        <w:tab/>
      </w:r>
      <w:r>
        <w:rPr>
          <w:rFonts w:cs="David" w:hint="cs"/>
          <w:rtl/>
        </w:rPr>
        <w:t>בחינת כיתה</w:t>
      </w:r>
    </w:p>
    <w:p w:rsidR="001B2EFA" w:rsidRDefault="001B2EFA" w:rsidP="001B2EFA">
      <w:pPr>
        <w:spacing w:line="276" w:lineRule="auto"/>
        <w:rPr>
          <w:rFonts w:ascii="David" w:hAnsi="David" w:cs="David"/>
          <w:color w:val="000000"/>
          <w:shd w:val="clear" w:color="auto" w:fill="F7F7F7"/>
          <w:rtl/>
        </w:rPr>
      </w:pPr>
    </w:p>
    <w:p w:rsidR="001B2EFA" w:rsidRDefault="001B2EFA" w:rsidP="001B2EFA">
      <w:pPr>
        <w:spacing w:line="276" w:lineRule="auto"/>
        <w:rPr>
          <w:rFonts w:ascii="David" w:hAnsi="David" w:cs="David"/>
          <w:color w:val="000000"/>
          <w:shd w:val="clear" w:color="auto" w:fill="F7F7F7"/>
          <w:rtl/>
        </w:rPr>
      </w:pPr>
    </w:p>
    <w:p w:rsidR="001B2EFA" w:rsidRPr="00DF7048" w:rsidRDefault="001B2EFA" w:rsidP="001B2EFA">
      <w:pPr>
        <w:spacing w:line="276" w:lineRule="auto"/>
        <w:rPr>
          <w:rFonts w:cs="David"/>
          <w:sz w:val="28"/>
          <w:szCs w:val="32"/>
          <w:rtl/>
        </w:rPr>
      </w:pPr>
      <w:r w:rsidRPr="00DF7048">
        <w:rPr>
          <w:rFonts w:cs="David"/>
          <w:b/>
          <w:bCs/>
          <w:sz w:val="28"/>
          <w:szCs w:val="32"/>
          <w:u w:val="single"/>
          <w:rtl/>
        </w:rPr>
        <w:t>חומר</w:t>
      </w:r>
      <w:r>
        <w:rPr>
          <w:rFonts w:cs="David" w:hint="cs"/>
          <w:b/>
          <w:bCs/>
          <w:sz w:val="28"/>
          <w:szCs w:val="32"/>
          <w:u w:val="single"/>
          <w:rtl/>
        </w:rPr>
        <w:t>י קריאה</w:t>
      </w:r>
      <w:r w:rsidRPr="00DF7048">
        <w:rPr>
          <w:rFonts w:cs="David" w:hint="cs"/>
          <w:b/>
          <w:bCs/>
          <w:sz w:val="28"/>
          <w:szCs w:val="32"/>
          <w:u w:val="single"/>
          <w:rtl/>
        </w:rPr>
        <w:t xml:space="preserve">  </w:t>
      </w:r>
      <w:r w:rsidRPr="00DF7048">
        <w:rPr>
          <w:rFonts w:cs="David" w:hint="cs"/>
          <w:sz w:val="28"/>
          <w:szCs w:val="32"/>
          <w:rtl/>
        </w:rPr>
        <w:t xml:space="preserve">  </w:t>
      </w:r>
    </w:p>
    <w:p w:rsidR="001B2EFA" w:rsidRDefault="001B2EFA" w:rsidP="001B2EFA">
      <w:pPr>
        <w:spacing w:line="276" w:lineRule="auto"/>
        <w:rPr>
          <w:rFonts w:cs="David"/>
          <w:szCs w:val="28"/>
          <w:rtl/>
        </w:rPr>
      </w:pPr>
    </w:p>
    <w:p w:rsidR="001B2EFA" w:rsidRPr="00F46396" w:rsidRDefault="001B2EFA" w:rsidP="001B2EFA">
      <w:pPr>
        <w:spacing w:line="276" w:lineRule="auto"/>
        <w:rPr>
          <w:rFonts w:cs="David"/>
          <w:b/>
          <w:bCs/>
          <w:szCs w:val="28"/>
        </w:rPr>
      </w:pPr>
      <w:r w:rsidRPr="00981F20">
        <w:rPr>
          <w:rFonts w:cs="David" w:hint="cs"/>
          <w:b/>
          <w:bCs/>
          <w:szCs w:val="28"/>
          <w:rtl/>
        </w:rPr>
        <w:t xml:space="preserve">א. </w:t>
      </w:r>
      <w:r w:rsidRPr="006025D3">
        <w:rPr>
          <w:rFonts w:cs="David"/>
          <w:b/>
          <w:bCs/>
          <w:szCs w:val="28"/>
          <w:rtl/>
        </w:rPr>
        <w:tab/>
      </w:r>
      <w:r w:rsidRPr="00981F20">
        <w:rPr>
          <w:rFonts w:cs="David" w:hint="cs"/>
          <w:b/>
          <w:bCs/>
          <w:szCs w:val="28"/>
          <w:u w:val="single"/>
          <w:rtl/>
        </w:rPr>
        <w:t>ה</w:t>
      </w:r>
      <w:r>
        <w:rPr>
          <w:rFonts w:cs="David" w:hint="cs"/>
          <w:b/>
          <w:bCs/>
          <w:szCs w:val="28"/>
          <w:u w:val="single"/>
          <w:rtl/>
        </w:rPr>
        <w:t>עידן המודרני</w:t>
      </w:r>
    </w:p>
    <w:p w:rsidR="001B2EFA" w:rsidRPr="00F46396" w:rsidRDefault="001B2EFA" w:rsidP="001B2EFA">
      <w:pPr>
        <w:pStyle w:val="a8"/>
        <w:numPr>
          <w:ilvl w:val="0"/>
          <w:numId w:val="3"/>
        </w:numPr>
        <w:spacing w:line="276" w:lineRule="auto"/>
        <w:jc w:val="both"/>
        <w:rPr>
          <w:rFonts w:cs="David"/>
        </w:rPr>
      </w:pPr>
      <w:r w:rsidRPr="005259B3">
        <w:rPr>
          <w:rFonts w:cs="David" w:hint="cs"/>
          <w:rtl/>
        </w:rPr>
        <w:t xml:space="preserve">משה צוקרמן, פרקים בסוציולוגיה של האמנות, תל-אביב: מטכ"ל/קצין חינוך ראשי/גלי צה"ל, משרד </w:t>
      </w:r>
      <w:proofErr w:type="spellStart"/>
      <w:r w:rsidRPr="005259B3">
        <w:rPr>
          <w:rFonts w:cs="David" w:hint="cs"/>
          <w:rtl/>
        </w:rPr>
        <w:t>הבטחון</w:t>
      </w:r>
      <w:proofErr w:type="spellEnd"/>
      <w:r w:rsidRPr="005259B3">
        <w:rPr>
          <w:rFonts w:cs="David" w:hint="cs"/>
          <w:rtl/>
        </w:rPr>
        <w:t xml:space="preserve">-ההוצאה לאור, תשנ"ו-1996, עמ' </w:t>
      </w:r>
      <w:r>
        <w:rPr>
          <w:rFonts w:cs="David" w:hint="cs"/>
          <w:rtl/>
        </w:rPr>
        <w:t>29-9.</w:t>
      </w:r>
    </w:p>
    <w:p w:rsidR="001B2EFA" w:rsidRDefault="001B2EFA" w:rsidP="001B2EFA">
      <w:pPr>
        <w:pStyle w:val="a8"/>
        <w:numPr>
          <w:ilvl w:val="0"/>
          <w:numId w:val="3"/>
        </w:numPr>
        <w:spacing w:line="276" w:lineRule="auto"/>
        <w:jc w:val="both"/>
        <w:rPr>
          <w:rFonts w:cs="David"/>
        </w:rPr>
      </w:pPr>
      <w:r w:rsidRPr="005259B3">
        <w:rPr>
          <w:rFonts w:cs="David" w:hint="cs"/>
          <w:rtl/>
        </w:rPr>
        <w:t xml:space="preserve">עזמי בשארה, (עורך), </w:t>
      </w:r>
      <w:r w:rsidRPr="003D3083">
        <w:rPr>
          <w:rFonts w:cs="David" w:hint="cs"/>
          <w:rtl/>
        </w:rPr>
        <w:t xml:space="preserve">הנאורות </w:t>
      </w:r>
      <w:r w:rsidRPr="003D3083">
        <w:rPr>
          <w:rFonts w:cs="David"/>
          <w:rtl/>
        </w:rPr>
        <w:t>–</w:t>
      </w:r>
      <w:r w:rsidRPr="003D3083">
        <w:rPr>
          <w:rFonts w:cs="David" w:hint="cs"/>
          <w:rtl/>
        </w:rPr>
        <w:t xml:space="preserve"> פרויקט שלא נשלם? שש מסות על נאורות ומודרניות</w:t>
      </w:r>
      <w:r w:rsidRPr="005259B3">
        <w:rPr>
          <w:rFonts w:cs="David" w:hint="cs"/>
          <w:rtl/>
        </w:rPr>
        <w:t xml:space="preserve">, (תל-אביב, הקיבוץ המאוחד, 1997): </w:t>
      </w:r>
    </w:p>
    <w:p w:rsidR="001B2EFA" w:rsidRDefault="001B2EFA" w:rsidP="001B2EFA">
      <w:pPr>
        <w:pStyle w:val="a8"/>
        <w:numPr>
          <w:ilvl w:val="0"/>
          <w:numId w:val="4"/>
        </w:numPr>
        <w:spacing w:line="276" w:lineRule="auto"/>
        <w:jc w:val="both"/>
        <w:rPr>
          <w:rFonts w:cs="David"/>
        </w:rPr>
      </w:pPr>
      <w:r w:rsidRPr="005259B3">
        <w:rPr>
          <w:rFonts w:cs="David" w:hint="cs"/>
          <w:rtl/>
        </w:rPr>
        <w:t xml:space="preserve">עזמי בשארה, "מבוא: ובכן, מהי נאורות?", עמ' 26-7. </w:t>
      </w:r>
    </w:p>
    <w:p w:rsidR="001B2EFA" w:rsidRPr="005259B3" w:rsidRDefault="001B2EFA" w:rsidP="001B2EFA">
      <w:pPr>
        <w:pStyle w:val="a8"/>
        <w:numPr>
          <w:ilvl w:val="0"/>
          <w:numId w:val="4"/>
        </w:numPr>
        <w:spacing w:line="276" w:lineRule="auto"/>
        <w:jc w:val="both"/>
        <w:rPr>
          <w:rFonts w:cs="David"/>
          <w:rtl/>
        </w:rPr>
      </w:pPr>
      <w:r w:rsidRPr="005259B3">
        <w:rPr>
          <w:rFonts w:cs="David" w:hint="cs"/>
          <w:rtl/>
        </w:rPr>
        <w:t>עמנואל קאנט, "תשובה לשאלה: נאורות מהי?", עמ' 52-45.</w:t>
      </w:r>
    </w:p>
    <w:p w:rsidR="001B2EFA" w:rsidRDefault="001B2EFA" w:rsidP="001B2EFA">
      <w:pPr>
        <w:bidi w:val="0"/>
        <w:spacing w:line="276" w:lineRule="auto"/>
        <w:jc w:val="both"/>
        <w:rPr>
          <w:rFonts w:cs="David"/>
        </w:rPr>
      </w:pPr>
    </w:p>
    <w:p w:rsidR="001B2EFA" w:rsidRPr="007E0CC5" w:rsidRDefault="001B2EFA" w:rsidP="001B2EFA">
      <w:pPr>
        <w:spacing w:line="276" w:lineRule="auto"/>
        <w:rPr>
          <w:rFonts w:cs="David"/>
          <w:b/>
          <w:bCs/>
          <w:sz w:val="28"/>
          <w:szCs w:val="28"/>
          <w:u w:val="single"/>
          <w:rtl/>
        </w:rPr>
      </w:pPr>
      <w:r w:rsidRPr="006B7AEC">
        <w:rPr>
          <w:rFonts w:cs="David" w:hint="cs"/>
          <w:b/>
          <w:bCs/>
          <w:sz w:val="28"/>
          <w:szCs w:val="28"/>
          <w:rtl/>
        </w:rPr>
        <w:t xml:space="preserve">ב. </w:t>
      </w:r>
      <w:r>
        <w:rPr>
          <w:rFonts w:cs="David"/>
          <w:b/>
          <w:bCs/>
          <w:sz w:val="28"/>
          <w:szCs w:val="28"/>
          <w:rtl/>
        </w:rPr>
        <w:tab/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האוטונומיה של האמנות </w:t>
      </w:r>
      <w:r>
        <w:rPr>
          <w:rFonts w:cs="David"/>
          <w:rtl/>
        </w:rPr>
        <w:tab/>
      </w:r>
    </w:p>
    <w:p w:rsidR="001B2EFA" w:rsidRDefault="001B2EFA" w:rsidP="001B2EFA">
      <w:pPr>
        <w:pStyle w:val="a8"/>
        <w:numPr>
          <w:ilvl w:val="0"/>
          <w:numId w:val="12"/>
        </w:numPr>
        <w:spacing w:line="276" w:lineRule="auto"/>
        <w:jc w:val="both"/>
        <w:rPr>
          <w:rFonts w:cs="David"/>
        </w:rPr>
      </w:pPr>
      <w:r>
        <w:rPr>
          <w:rFonts w:cs="David"/>
        </w:rPr>
        <w:t>P</w:t>
      </w:r>
      <w:r w:rsidRPr="007E0CC5">
        <w:rPr>
          <w:rFonts w:cs="David"/>
        </w:rPr>
        <w:t xml:space="preserve">aul </w:t>
      </w:r>
      <w:r>
        <w:rPr>
          <w:rFonts w:cs="David"/>
        </w:rPr>
        <w:t>Crowther,</w:t>
      </w:r>
      <w:r w:rsidRPr="007E0CC5">
        <w:rPr>
          <w:rFonts w:cs="David"/>
        </w:rPr>
        <w:t xml:space="preserve"> </w:t>
      </w:r>
      <w:r>
        <w:rPr>
          <w:rFonts w:cs="David"/>
        </w:rPr>
        <w:t>A</w:t>
      </w:r>
      <w:r w:rsidRPr="007E0CC5">
        <w:rPr>
          <w:rFonts w:cs="David"/>
        </w:rPr>
        <w:t xml:space="preserve">rt and </w:t>
      </w:r>
      <w:r>
        <w:rPr>
          <w:rFonts w:cs="David"/>
        </w:rPr>
        <w:t>A</w:t>
      </w:r>
      <w:r w:rsidRPr="007E0CC5">
        <w:rPr>
          <w:rFonts w:cs="David"/>
        </w:rPr>
        <w:t>utonomy</w:t>
      </w:r>
      <w:r>
        <w:rPr>
          <w:rFonts w:cs="David"/>
        </w:rPr>
        <w:t>,</w:t>
      </w:r>
      <w:r w:rsidRPr="007E0CC5">
        <w:rPr>
          <w:sz w:val="36"/>
          <w:szCs w:val="36"/>
        </w:rPr>
        <w:t xml:space="preserve"> </w:t>
      </w:r>
      <w:r w:rsidRPr="007E0CC5">
        <w:rPr>
          <w:rStyle w:val="exldetailsdisplayval"/>
          <w:color w:val="32322F"/>
          <w:bdr w:val="none" w:sz="0" w:space="0" w:color="auto" w:frame="1"/>
          <w:shd w:val="clear" w:color="auto" w:fill="FFFFFF"/>
        </w:rPr>
        <w:t xml:space="preserve">The British Journal of Aesthetics, December 1981, </w:t>
      </w:r>
      <w:proofErr w:type="gramStart"/>
      <w:r w:rsidRPr="007E0CC5">
        <w:rPr>
          <w:rStyle w:val="exldetailsdisplayval"/>
          <w:color w:val="32322F"/>
          <w:bdr w:val="none" w:sz="0" w:space="0" w:color="auto" w:frame="1"/>
          <w:shd w:val="clear" w:color="auto" w:fill="FFFFFF"/>
        </w:rPr>
        <w:t>Vol.21(</w:t>
      </w:r>
      <w:proofErr w:type="gramEnd"/>
      <w:r w:rsidRPr="007E0CC5">
        <w:rPr>
          <w:rStyle w:val="exldetailsdisplayval"/>
          <w:color w:val="32322F"/>
          <w:bdr w:val="none" w:sz="0" w:space="0" w:color="auto" w:frame="1"/>
          <w:shd w:val="clear" w:color="auto" w:fill="FFFFFF"/>
        </w:rPr>
        <w:t>1), pp.12-21</w:t>
      </w:r>
      <w:r>
        <w:rPr>
          <w:rStyle w:val="exldetailsdisplayval"/>
          <w:color w:val="32322F"/>
          <w:bdr w:val="none" w:sz="0" w:space="0" w:color="auto" w:frame="1"/>
          <w:shd w:val="clear" w:color="auto" w:fill="FFFFFF"/>
        </w:rPr>
        <w:t>.</w:t>
      </w:r>
    </w:p>
    <w:p w:rsidR="001B2EFA" w:rsidRPr="007E0CC5" w:rsidRDefault="001B2EFA" w:rsidP="001B2EFA">
      <w:pPr>
        <w:pStyle w:val="a8"/>
        <w:numPr>
          <w:ilvl w:val="0"/>
          <w:numId w:val="12"/>
        </w:numPr>
        <w:spacing w:line="276" w:lineRule="auto"/>
        <w:jc w:val="both"/>
        <w:rPr>
          <w:rFonts w:cs="David"/>
        </w:rPr>
      </w:pPr>
      <w:r w:rsidRPr="007E0CC5">
        <w:rPr>
          <w:color w:val="222222"/>
        </w:rPr>
        <w:t xml:space="preserve">Casey Haskins, </w:t>
      </w:r>
      <w:r w:rsidRPr="007E0CC5">
        <w:rPr>
          <w:color w:val="333333"/>
        </w:rPr>
        <w:t>Kant and the Autonomy of Art</w:t>
      </w:r>
      <w:r w:rsidRPr="007E0CC5">
        <w:rPr>
          <w:color w:val="222222"/>
        </w:rPr>
        <w:t xml:space="preserve">, </w:t>
      </w:r>
      <w:r w:rsidRPr="007E0CC5">
        <w:rPr>
          <w:rStyle w:val="HTMLCite"/>
          <w:color w:val="222222"/>
        </w:rPr>
        <w:t xml:space="preserve">The Journal of Aesthetics and Art </w:t>
      </w:r>
      <w:proofErr w:type="spellStart"/>
      <w:r w:rsidRPr="007E0CC5">
        <w:rPr>
          <w:rStyle w:val="HTMLCite"/>
          <w:color w:val="222222"/>
        </w:rPr>
        <w:t>Criticism</w:t>
      </w:r>
      <w:proofErr w:type="gramStart"/>
      <w:r w:rsidRPr="007E0CC5">
        <w:rPr>
          <w:color w:val="222222"/>
        </w:rPr>
        <w:t>,Vol</w:t>
      </w:r>
      <w:proofErr w:type="spellEnd"/>
      <w:proofErr w:type="gramEnd"/>
      <w:r w:rsidRPr="007E0CC5">
        <w:rPr>
          <w:color w:val="222222"/>
        </w:rPr>
        <w:t>. 47, No. 1 (Winter, 1989), pp. 43-54</w:t>
      </w:r>
      <w:r>
        <w:rPr>
          <w:color w:val="222222"/>
        </w:rPr>
        <w:t>.</w:t>
      </w:r>
    </w:p>
    <w:p w:rsidR="001B2EFA" w:rsidRPr="007E0CC5" w:rsidRDefault="001B2EFA" w:rsidP="001B2EFA">
      <w:pPr>
        <w:shd w:val="clear" w:color="auto" w:fill="FFFFFF"/>
        <w:bidi w:val="0"/>
        <w:spacing w:line="276" w:lineRule="auto"/>
        <w:rPr>
          <w:rFonts w:cs="David"/>
        </w:rPr>
      </w:pPr>
      <w:r w:rsidRPr="007E0CC5">
        <w:rPr>
          <w:rFonts w:cs="David"/>
        </w:rPr>
        <w:t xml:space="preserve"> </w:t>
      </w:r>
    </w:p>
    <w:p w:rsidR="001B2EFA" w:rsidRPr="00F46396" w:rsidRDefault="001B2EFA" w:rsidP="001B2EFA">
      <w:pPr>
        <w:spacing w:line="276" w:lineRule="auto"/>
        <w:rPr>
          <w:rFonts w:cs="David"/>
          <w:b/>
          <w:bCs/>
          <w:sz w:val="28"/>
          <w:szCs w:val="28"/>
          <w:u w:val="single"/>
          <w:rtl/>
        </w:rPr>
      </w:pPr>
      <w:r w:rsidRPr="00A161E2">
        <w:rPr>
          <w:rFonts w:cs="David" w:hint="cs"/>
          <w:b/>
          <w:bCs/>
          <w:sz w:val="28"/>
          <w:szCs w:val="28"/>
          <w:rtl/>
        </w:rPr>
        <w:t xml:space="preserve">ג. </w:t>
      </w:r>
      <w:r w:rsidRPr="006025D3">
        <w:rPr>
          <w:rFonts w:cs="David"/>
          <w:b/>
          <w:bCs/>
          <w:sz w:val="28"/>
          <w:szCs w:val="28"/>
          <w:rtl/>
        </w:rPr>
        <w:tab/>
      </w:r>
      <w:r w:rsidRPr="00A161E2">
        <w:rPr>
          <w:rFonts w:cs="David" w:hint="cs"/>
          <w:b/>
          <w:bCs/>
          <w:sz w:val="28"/>
          <w:szCs w:val="28"/>
          <w:u w:val="single"/>
          <w:rtl/>
        </w:rPr>
        <w:t>י</w:t>
      </w:r>
      <w:r>
        <w:rPr>
          <w:rFonts w:cs="David" w:hint="cs"/>
          <w:b/>
          <w:bCs/>
          <w:sz w:val="28"/>
          <w:szCs w:val="28"/>
          <w:u w:val="single"/>
          <w:rtl/>
        </w:rPr>
        <w:t>צירת האמנות הכוללת</w:t>
      </w:r>
    </w:p>
    <w:p w:rsidR="001B2EFA" w:rsidRPr="00715F77" w:rsidRDefault="001B2EFA" w:rsidP="001B2EFA">
      <w:pPr>
        <w:pStyle w:val="a8"/>
        <w:numPr>
          <w:ilvl w:val="0"/>
          <w:numId w:val="11"/>
        </w:numPr>
        <w:spacing w:line="276" w:lineRule="auto"/>
        <w:jc w:val="both"/>
        <w:rPr>
          <w:rFonts w:cs="David"/>
          <w:rtl/>
        </w:rPr>
      </w:pPr>
      <w:r w:rsidRPr="005259B3">
        <w:rPr>
          <w:rFonts w:cs="David" w:hint="cs"/>
          <w:rtl/>
        </w:rPr>
        <w:t xml:space="preserve">משה צוקרמן, פרקים בסוציולוגיה של האמנות, תל-אביב: מטכ"ל/קצין חינוך ראשי/גלי צה"ל, משרד </w:t>
      </w:r>
      <w:proofErr w:type="spellStart"/>
      <w:r w:rsidRPr="005259B3">
        <w:rPr>
          <w:rFonts w:cs="David" w:hint="cs"/>
          <w:rtl/>
        </w:rPr>
        <w:t>הבטחון</w:t>
      </w:r>
      <w:proofErr w:type="spellEnd"/>
      <w:r w:rsidRPr="005259B3">
        <w:rPr>
          <w:rFonts w:cs="David" w:hint="cs"/>
          <w:rtl/>
        </w:rPr>
        <w:t>-ההוצאה לאור, תשנ"ו-1996, עמ'</w:t>
      </w:r>
      <w:r>
        <w:rPr>
          <w:rFonts w:cs="David" w:hint="cs"/>
          <w:rtl/>
        </w:rPr>
        <w:t xml:space="preserve"> 46-30.</w:t>
      </w:r>
    </w:p>
    <w:p w:rsidR="001B2EFA" w:rsidRDefault="001B2EFA" w:rsidP="001B2EFA">
      <w:pPr>
        <w:spacing w:line="276" w:lineRule="auto"/>
        <w:rPr>
          <w:rFonts w:cs="David"/>
          <w:rtl/>
        </w:rPr>
      </w:pPr>
    </w:p>
    <w:p w:rsidR="001B2EFA" w:rsidRPr="00F46396" w:rsidRDefault="001B2EFA" w:rsidP="001B2EFA">
      <w:pPr>
        <w:spacing w:line="276" w:lineRule="auto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ד. </w:t>
      </w:r>
      <w:r w:rsidRPr="006025D3">
        <w:rPr>
          <w:rFonts w:cs="David"/>
          <w:b/>
          <w:bCs/>
          <w:sz w:val="28"/>
          <w:szCs w:val="28"/>
          <w:rtl/>
        </w:rPr>
        <w:tab/>
      </w:r>
      <w:r w:rsidRPr="006025D3">
        <w:rPr>
          <w:rFonts w:cs="David" w:hint="cs"/>
          <w:b/>
          <w:bCs/>
          <w:sz w:val="28"/>
          <w:szCs w:val="28"/>
          <w:u w:val="single"/>
          <w:rtl/>
        </w:rPr>
        <w:t>ת</w:t>
      </w:r>
      <w:r>
        <w:rPr>
          <w:rFonts w:cs="David" w:hint="cs"/>
          <w:b/>
          <w:bCs/>
          <w:sz w:val="28"/>
          <w:szCs w:val="28"/>
          <w:u w:val="single"/>
          <w:rtl/>
        </w:rPr>
        <w:t>נועות האוונגרד</w:t>
      </w:r>
    </w:p>
    <w:p w:rsidR="001B2EFA" w:rsidRPr="00BF61A8" w:rsidRDefault="001B2EFA" w:rsidP="001B2EFA">
      <w:pPr>
        <w:pStyle w:val="a8"/>
        <w:numPr>
          <w:ilvl w:val="0"/>
          <w:numId w:val="14"/>
        </w:numPr>
        <w:spacing w:line="276" w:lineRule="auto"/>
        <w:jc w:val="both"/>
        <w:rPr>
          <w:rFonts w:cs="David"/>
        </w:rPr>
      </w:pPr>
      <w:r w:rsidRPr="00BF61A8">
        <w:rPr>
          <w:rFonts w:cs="David"/>
        </w:rPr>
        <w:t xml:space="preserve">Peter </w:t>
      </w:r>
      <w:proofErr w:type="spellStart"/>
      <w:r w:rsidRPr="00BF61A8">
        <w:rPr>
          <w:rFonts w:cs="David"/>
        </w:rPr>
        <w:t>Bürger</w:t>
      </w:r>
      <w:proofErr w:type="spellEnd"/>
      <w:r w:rsidRPr="00BF61A8">
        <w:rPr>
          <w:rFonts w:cs="David"/>
        </w:rPr>
        <w:t xml:space="preserve">, </w:t>
      </w:r>
      <w:hyperlink r:id="rId7" w:history="1">
        <w:r w:rsidRPr="00BF61A8">
          <w:rPr>
            <w:rFonts w:cs="David"/>
          </w:rPr>
          <w:t>Theory of the Avant-Garde</w:t>
        </w:r>
      </w:hyperlink>
      <w:r w:rsidRPr="00BF61A8">
        <w:rPr>
          <w:rFonts w:cs="David"/>
        </w:rPr>
        <w:t xml:space="preserve">, English translation by Michael Shaw, Forward by </w:t>
      </w:r>
      <w:proofErr w:type="spellStart"/>
      <w:r w:rsidRPr="00BF61A8">
        <w:rPr>
          <w:rFonts w:cs="David"/>
        </w:rPr>
        <w:t>Jochen</w:t>
      </w:r>
      <w:proofErr w:type="spellEnd"/>
      <w:r w:rsidRPr="00BF61A8">
        <w:rPr>
          <w:rFonts w:cs="David"/>
        </w:rPr>
        <w:t xml:space="preserve"> Schulte-</w:t>
      </w:r>
      <w:proofErr w:type="spellStart"/>
      <w:r w:rsidRPr="00BF61A8">
        <w:rPr>
          <w:rFonts w:cs="David"/>
        </w:rPr>
        <w:t>Sasse</w:t>
      </w:r>
      <w:proofErr w:type="spellEnd"/>
      <w:r w:rsidRPr="00BF61A8">
        <w:rPr>
          <w:rFonts w:cs="David"/>
        </w:rPr>
        <w:t>, Theory and History of Literature, Volume 4 (Manchester University Press, University of Minnesota Press, 1984</w:t>
      </w:r>
      <w:r>
        <w:rPr>
          <w:rFonts w:cs="David"/>
        </w:rPr>
        <w:t>.</w:t>
      </w:r>
    </w:p>
    <w:p w:rsidR="001B2EFA" w:rsidRPr="00697D25" w:rsidRDefault="001B2EFA" w:rsidP="001B2EFA">
      <w:pPr>
        <w:pStyle w:val="a8"/>
        <w:spacing w:line="276" w:lineRule="auto"/>
        <w:ind w:left="1080"/>
        <w:jc w:val="both"/>
        <w:rPr>
          <w:rFonts w:cs="David"/>
          <w:rtl/>
        </w:rPr>
      </w:pPr>
    </w:p>
    <w:p w:rsidR="001B2EFA" w:rsidRPr="00F46396" w:rsidRDefault="001B2EFA" w:rsidP="001B2EFA">
      <w:pPr>
        <w:spacing w:line="276" w:lineRule="auto"/>
        <w:rPr>
          <w:rFonts w:cs="David"/>
          <w:b/>
          <w:bCs/>
          <w:sz w:val="28"/>
          <w:szCs w:val="28"/>
          <w:u w:val="single"/>
        </w:rPr>
      </w:pPr>
      <w:r>
        <w:rPr>
          <w:rFonts w:cs="David" w:hint="cs"/>
          <w:b/>
          <w:bCs/>
          <w:sz w:val="28"/>
          <w:szCs w:val="28"/>
          <w:rtl/>
        </w:rPr>
        <w:lastRenderedPageBreak/>
        <w:t>ה.</w:t>
      </w:r>
      <w:r>
        <w:rPr>
          <w:rFonts w:cs="David"/>
          <w:b/>
          <w:bCs/>
          <w:sz w:val="28"/>
          <w:szCs w:val="28"/>
          <w:rtl/>
        </w:rPr>
        <w:tab/>
      </w:r>
      <w:proofErr w:type="spellStart"/>
      <w:r>
        <w:rPr>
          <w:rFonts w:cs="David" w:hint="cs"/>
          <w:b/>
          <w:bCs/>
          <w:sz w:val="28"/>
          <w:szCs w:val="28"/>
          <w:u w:val="single"/>
          <w:rtl/>
        </w:rPr>
        <w:t>דיאלקטיקת</w:t>
      </w:r>
      <w:proofErr w:type="spellEnd"/>
      <w:r>
        <w:rPr>
          <w:rFonts w:cs="David" w:hint="cs"/>
          <w:b/>
          <w:bCs/>
          <w:sz w:val="28"/>
          <w:szCs w:val="28"/>
          <w:u w:val="single"/>
          <w:rtl/>
        </w:rPr>
        <w:t xml:space="preserve"> הנאורות</w:t>
      </w:r>
    </w:p>
    <w:p w:rsidR="001B2EFA" w:rsidRPr="00F46396" w:rsidRDefault="001B2EFA" w:rsidP="001B2EFA">
      <w:pPr>
        <w:pStyle w:val="a8"/>
        <w:numPr>
          <w:ilvl w:val="0"/>
          <w:numId w:val="8"/>
        </w:numPr>
        <w:spacing w:line="276" w:lineRule="auto"/>
        <w:jc w:val="both"/>
        <w:rPr>
          <w:rFonts w:cs="David"/>
        </w:rPr>
      </w:pPr>
      <w:r w:rsidRPr="005259B3">
        <w:rPr>
          <w:rFonts w:cs="David" w:hint="cs"/>
          <w:rtl/>
        </w:rPr>
        <w:t xml:space="preserve">משה צוקרמן, פרקים בסוציולוגיה של האמנות, תל-אביב: מטכ"ל/קצין חינוך ראשי/גלי צה"ל, משרד </w:t>
      </w:r>
      <w:proofErr w:type="spellStart"/>
      <w:r w:rsidRPr="005259B3">
        <w:rPr>
          <w:rFonts w:cs="David" w:hint="cs"/>
          <w:rtl/>
        </w:rPr>
        <w:t>הבטחון</w:t>
      </w:r>
      <w:proofErr w:type="spellEnd"/>
      <w:r w:rsidRPr="005259B3">
        <w:rPr>
          <w:rFonts w:cs="David" w:hint="cs"/>
          <w:rtl/>
        </w:rPr>
        <w:t>-ההוצאה לאור, תשנ"ו-1996, עמ'</w:t>
      </w:r>
      <w:r>
        <w:rPr>
          <w:rFonts w:cs="David" w:hint="cs"/>
          <w:rtl/>
        </w:rPr>
        <w:t xml:space="preserve"> 57-47.</w:t>
      </w:r>
    </w:p>
    <w:p w:rsidR="001B2EFA" w:rsidRPr="00F46396" w:rsidRDefault="001B2EFA" w:rsidP="001B2EFA">
      <w:pPr>
        <w:pStyle w:val="a8"/>
        <w:numPr>
          <w:ilvl w:val="0"/>
          <w:numId w:val="8"/>
        </w:numPr>
        <w:spacing w:line="276" w:lineRule="auto"/>
        <w:jc w:val="both"/>
        <w:rPr>
          <w:rFonts w:cs="David"/>
          <w:b/>
          <w:bCs/>
          <w:sz w:val="28"/>
          <w:szCs w:val="28"/>
          <w:u w:val="single"/>
          <w:rtl/>
        </w:rPr>
      </w:pPr>
      <w:proofErr w:type="spellStart"/>
      <w:r>
        <w:rPr>
          <w:rFonts w:cs="David" w:hint="cs"/>
          <w:rtl/>
        </w:rPr>
        <w:t>תיאודור.ו</w:t>
      </w:r>
      <w:proofErr w:type="spellEnd"/>
      <w:r>
        <w:rPr>
          <w:rFonts w:cs="David" w:hint="cs"/>
          <w:rtl/>
        </w:rPr>
        <w:t xml:space="preserve">. </w:t>
      </w:r>
      <w:proofErr w:type="spellStart"/>
      <w:r>
        <w:rPr>
          <w:rFonts w:cs="David" w:hint="cs"/>
          <w:rtl/>
        </w:rPr>
        <w:t>אדורנו</w:t>
      </w:r>
      <w:proofErr w:type="spellEnd"/>
      <w:r>
        <w:rPr>
          <w:rFonts w:cs="David" w:hint="cs"/>
          <w:rtl/>
        </w:rPr>
        <w:t xml:space="preserve">, מקס </w:t>
      </w:r>
      <w:proofErr w:type="spellStart"/>
      <w:r>
        <w:rPr>
          <w:rFonts w:cs="David" w:hint="cs"/>
          <w:rtl/>
        </w:rPr>
        <w:t>הורקהיימר</w:t>
      </w:r>
      <w:proofErr w:type="spellEnd"/>
      <w:r>
        <w:rPr>
          <w:rFonts w:cs="David" w:hint="cs"/>
          <w:rtl/>
        </w:rPr>
        <w:t xml:space="preserve">, דיאלקטיקה של הנאורות, פרק ראשון: מושג הנאורות, תרגמו: צבי </w:t>
      </w:r>
      <w:proofErr w:type="spellStart"/>
      <w:r>
        <w:rPr>
          <w:rFonts w:cs="David" w:hint="cs"/>
          <w:rtl/>
        </w:rPr>
        <w:t>טאובר</w:t>
      </w:r>
      <w:proofErr w:type="spellEnd"/>
      <w:r>
        <w:rPr>
          <w:rFonts w:cs="David" w:hint="cs"/>
          <w:rtl/>
        </w:rPr>
        <w:t xml:space="preserve"> ומשה צוקרמן.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</w:p>
    <w:p w:rsidR="001B2EFA" w:rsidRDefault="001B2EFA" w:rsidP="001B2EFA">
      <w:pPr>
        <w:spacing w:line="276" w:lineRule="auto"/>
        <w:jc w:val="both"/>
        <w:rPr>
          <w:rFonts w:cs="David"/>
          <w:b/>
          <w:bCs/>
          <w:sz w:val="28"/>
          <w:szCs w:val="28"/>
          <w:u w:val="single"/>
          <w:rtl/>
        </w:rPr>
      </w:pPr>
    </w:p>
    <w:p w:rsidR="001B2EFA" w:rsidRPr="00DB52E0" w:rsidRDefault="001B2EFA" w:rsidP="001B2EFA">
      <w:pPr>
        <w:spacing w:line="276" w:lineRule="auto"/>
        <w:jc w:val="both"/>
        <w:rPr>
          <w:rFonts w:cs="David"/>
          <w:b/>
          <w:bCs/>
          <w:sz w:val="28"/>
          <w:szCs w:val="28"/>
          <w:u w:val="single"/>
          <w:rtl/>
        </w:rPr>
      </w:pPr>
    </w:p>
    <w:p w:rsidR="001B2EFA" w:rsidRPr="00F46396" w:rsidRDefault="001B2EFA" w:rsidP="001B2EFA">
      <w:pPr>
        <w:spacing w:line="276" w:lineRule="auto"/>
        <w:rPr>
          <w:rFonts w:cs="David"/>
          <w:b/>
          <w:bCs/>
          <w:sz w:val="28"/>
          <w:szCs w:val="28"/>
          <w:u w:val="single"/>
        </w:rPr>
      </w:pPr>
      <w:r w:rsidRPr="006025D3">
        <w:rPr>
          <w:rFonts w:cs="David" w:hint="cs"/>
          <w:b/>
          <w:bCs/>
          <w:sz w:val="28"/>
          <w:szCs w:val="28"/>
          <w:rtl/>
        </w:rPr>
        <w:t>ו.</w:t>
      </w:r>
      <w:r w:rsidRPr="006025D3">
        <w:rPr>
          <w:rFonts w:cs="David"/>
          <w:b/>
          <w:bCs/>
          <w:sz w:val="28"/>
          <w:szCs w:val="28"/>
          <w:rtl/>
        </w:rPr>
        <w:tab/>
      </w:r>
      <w:r>
        <w:rPr>
          <w:rFonts w:cs="David" w:hint="cs"/>
          <w:b/>
          <w:bCs/>
          <w:sz w:val="28"/>
          <w:szCs w:val="28"/>
          <w:u w:val="single"/>
          <w:rtl/>
        </w:rPr>
        <w:t>חרושת התרבות</w:t>
      </w:r>
    </w:p>
    <w:p w:rsidR="001B2EFA" w:rsidRPr="00F46396" w:rsidRDefault="001B2EFA" w:rsidP="001B2EFA">
      <w:pPr>
        <w:pStyle w:val="a8"/>
        <w:numPr>
          <w:ilvl w:val="0"/>
          <w:numId w:val="9"/>
        </w:numPr>
        <w:spacing w:line="276" w:lineRule="auto"/>
        <w:jc w:val="both"/>
        <w:rPr>
          <w:rFonts w:cs="David"/>
        </w:rPr>
      </w:pPr>
      <w:r w:rsidRPr="005259B3">
        <w:rPr>
          <w:rFonts w:cs="David" w:hint="cs"/>
          <w:rtl/>
        </w:rPr>
        <w:t xml:space="preserve">משה צוקרמן, פרקים בסוציולוגיה של האמנות, תל-אביב: מטכ"ל/קצין חינוך ראשי/גלי צה"ל, משרד </w:t>
      </w:r>
      <w:proofErr w:type="spellStart"/>
      <w:r w:rsidRPr="005259B3">
        <w:rPr>
          <w:rFonts w:cs="David" w:hint="cs"/>
          <w:rtl/>
        </w:rPr>
        <w:t>הבטחון</w:t>
      </w:r>
      <w:proofErr w:type="spellEnd"/>
      <w:r w:rsidRPr="005259B3">
        <w:rPr>
          <w:rFonts w:cs="David" w:hint="cs"/>
          <w:rtl/>
        </w:rPr>
        <w:t xml:space="preserve">-ההוצאה לאור, תשנ"ו-1996, עמ' </w:t>
      </w:r>
      <w:r>
        <w:rPr>
          <w:rFonts w:cs="David" w:hint="cs"/>
          <w:rtl/>
        </w:rPr>
        <w:t>68-58.</w:t>
      </w:r>
    </w:p>
    <w:p w:rsidR="001B2EFA" w:rsidRDefault="001B2EFA" w:rsidP="001B2EFA">
      <w:pPr>
        <w:pStyle w:val="a8"/>
        <w:numPr>
          <w:ilvl w:val="0"/>
          <w:numId w:val="9"/>
        </w:numPr>
        <w:spacing w:line="276" w:lineRule="auto"/>
        <w:jc w:val="both"/>
        <w:rPr>
          <w:rFonts w:cs="David"/>
        </w:rPr>
      </w:pPr>
      <w:proofErr w:type="spellStart"/>
      <w:r>
        <w:rPr>
          <w:rFonts w:cs="David" w:hint="cs"/>
          <w:rtl/>
        </w:rPr>
        <w:t>תיאודור.ו</w:t>
      </w:r>
      <w:proofErr w:type="spellEnd"/>
      <w:r>
        <w:rPr>
          <w:rFonts w:cs="David" w:hint="cs"/>
          <w:rtl/>
        </w:rPr>
        <w:t xml:space="preserve">. </w:t>
      </w:r>
      <w:proofErr w:type="spellStart"/>
      <w:r>
        <w:rPr>
          <w:rFonts w:cs="David" w:hint="cs"/>
          <w:rtl/>
        </w:rPr>
        <w:t>אדורנו</w:t>
      </w:r>
      <w:proofErr w:type="spellEnd"/>
      <w:r>
        <w:rPr>
          <w:rFonts w:cs="David" w:hint="cs"/>
          <w:rtl/>
        </w:rPr>
        <w:t xml:space="preserve">, מקס </w:t>
      </w:r>
      <w:proofErr w:type="spellStart"/>
      <w:r>
        <w:rPr>
          <w:rFonts w:cs="David" w:hint="cs"/>
          <w:rtl/>
        </w:rPr>
        <w:t>הורקהיימר</w:t>
      </w:r>
      <w:proofErr w:type="spellEnd"/>
      <w:r>
        <w:rPr>
          <w:rFonts w:cs="David" w:hint="cs"/>
          <w:rtl/>
        </w:rPr>
        <w:t xml:space="preserve">, תעשיית תרבות: נאורות כהונאת המונים, בתוך: אסכולת פרנקפורט (מבחר), עורכים: מי-דן מיכאל, יסעור אברהם, תרגם: דוד ארן, תל אביב: ספרית פועלים, הוצאת הקיבוץ הארצי השומר הצעיר, תשנ"ג-1993, עמ' </w:t>
      </w:r>
      <w:r w:rsidRPr="000825DB">
        <w:rPr>
          <w:rFonts w:cs="David" w:hint="cs"/>
          <w:rtl/>
        </w:rPr>
        <w:t>198-158.</w:t>
      </w:r>
    </w:p>
    <w:p w:rsidR="001B2EFA" w:rsidRDefault="001B2EFA" w:rsidP="001B2EFA">
      <w:pPr>
        <w:spacing w:line="276" w:lineRule="auto"/>
        <w:jc w:val="both"/>
        <w:rPr>
          <w:rFonts w:cs="David"/>
          <w:rtl/>
        </w:rPr>
      </w:pPr>
    </w:p>
    <w:p w:rsidR="001B2EFA" w:rsidRPr="00277BEA" w:rsidRDefault="001B2EFA" w:rsidP="001B2EFA">
      <w:pPr>
        <w:spacing w:line="276" w:lineRule="auto"/>
        <w:rPr>
          <w:rFonts w:cs="David"/>
          <w:b/>
          <w:bCs/>
          <w:sz w:val="28"/>
          <w:szCs w:val="28"/>
          <w:u w:val="single"/>
        </w:rPr>
      </w:pPr>
      <w:r w:rsidRPr="005259B3">
        <w:rPr>
          <w:rFonts w:cs="David" w:hint="cs"/>
          <w:b/>
          <w:bCs/>
          <w:sz w:val="28"/>
          <w:szCs w:val="28"/>
          <w:rtl/>
        </w:rPr>
        <w:t>ז.</w:t>
      </w:r>
      <w:r w:rsidRPr="005259B3">
        <w:rPr>
          <w:rFonts w:cs="David"/>
          <w:b/>
          <w:bCs/>
          <w:sz w:val="28"/>
          <w:szCs w:val="28"/>
          <w:rtl/>
        </w:rPr>
        <w:tab/>
      </w:r>
      <w:r>
        <w:rPr>
          <w:rFonts w:cs="David" w:hint="cs"/>
          <w:b/>
          <w:bCs/>
          <w:sz w:val="28"/>
          <w:szCs w:val="28"/>
          <w:u w:val="single"/>
          <w:rtl/>
        </w:rPr>
        <w:t>ואלטר בנימין</w:t>
      </w:r>
    </w:p>
    <w:p w:rsidR="001B2EFA" w:rsidRPr="00F46396" w:rsidRDefault="001B2EFA" w:rsidP="001B2EFA">
      <w:pPr>
        <w:pStyle w:val="a8"/>
        <w:numPr>
          <w:ilvl w:val="0"/>
          <w:numId w:val="10"/>
        </w:numPr>
        <w:spacing w:line="276" w:lineRule="auto"/>
        <w:jc w:val="both"/>
        <w:rPr>
          <w:rFonts w:cs="David"/>
        </w:rPr>
      </w:pPr>
      <w:r w:rsidRPr="005259B3">
        <w:rPr>
          <w:rFonts w:cs="David" w:hint="cs"/>
          <w:rtl/>
        </w:rPr>
        <w:t xml:space="preserve">משה צוקרמן, פרקים בסוציולוגיה של האמנות, תל-אביב: מטכ"ל/קצין חינוך ראשי/גלי צה"ל, משרד </w:t>
      </w:r>
      <w:proofErr w:type="spellStart"/>
      <w:r w:rsidRPr="005259B3">
        <w:rPr>
          <w:rFonts w:cs="David" w:hint="cs"/>
          <w:rtl/>
        </w:rPr>
        <w:t>הבטחון</w:t>
      </w:r>
      <w:proofErr w:type="spellEnd"/>
      <w:r w:rsidRPr="005259B3">
        <w:rPr>
          <w:rFonts w:cs="David" w:hint="cs"/>
          <w:rtl/>
        </w:rPr>
        <w:t>-ההוצאה לאור, תשנ"ו-1996, עמ'</w:t>
      </w:r>
      <w:r>
        <w:rPr>
          <w:rFonts w:cs="David" w:hint="cs"/>
          <w:rtl/>
        </w:rPr>
        <w:t xml:space="preserve"> 78-69.</w:t>
      </w:r>
    </w:p>
    <w:p w:rsidR="001B2EFA" w:rsidRPr="00390029" w:rsidRDefault="001B2EFA" w:rsidP="001B2EFA">
      <w:pPr>
        <w:pStyle w:val="a8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color w:val="32322F"/>
          <w:sz w:val="19"/>
          <w:szCs w:val="19"/>
        </w:rPr>
      </w:pPr>
      <w:r>
        <w:rPr>
          <w:rFonts w:cs="David" w:hint="cs"/>
          <w:rtl/>
        </w:rPr>
        <w:t xml:space="preserve">ואלטר בנימין, יצירת האמנות בעידן השעתוק הטכני, בתוך: מבחר כתבים, עורכים: </w:t>
      </w:r>
      <w:proofErr w:type="spellStart"/>
      <w:r>
        <w:rPr>
          <w:rFonts w:cs="David" w:hint="cs"/>
          <w:rtl/>
        </w:rPr>
        <w:t>יורגן</w:t>
      </w:r>
      <w:proofErr w:type="spellEnd"/>
      <w:r>
        <w:rPr>
          <w:rFonts w:cs="David" w:hint="cs"/>
          <w:rtl/>
        </w:rPr>
        <w:t xml:space="preserve"> </w:t>
      </w:r>
      <w:proofErr w:type="spellStart"/>
      <w:r>
        <w:rPr>
          <w:rFonts w:cs="David" w:hint="cs"/>
          <w:rtl/>
        </w:rPr>
        <w:t>ניראד</w:t>
      </w:r>
      <w:proofErr w:type="spellEnd"/>
      <w:r>
        <w:rPr>
          <w:rFonts w:cs="David" w:hint="cs"/>
          <w:rtl/>
        </w:rPr>
        <w:t xml:space="preserve">, נסים קלדרון, רנה </w:t>
      </w:r>
      <w:proofErr w:type="spellStart"/>
      <w:r>
        <w:rPr>
          <w:rFonts w:cs="David" w:hint="cs"/>
          <w:rtl/>
        </w:rPr>
        <w:t>קלינוב</w:t>
      </w:r>
      <w:proofErr w:type="spellEnd"/>
      <w:r>
        <w:rPr>
          <w:rFonts w:cs="David" w:hint="cs"/>
          <w:rtl/>
        </w:rPr>
        <w:t>, תרגם: דוד זינגר, תל אביב: הקיבוץ המאוחד, תשנ"ב-1992-תשנ"ו-1996, עמ' 177-156.</w:t>
      </w:r>
    </w:p>
    <w:p w:rsidR="001B2EFA" w:rsidRPr="008A4650" w:rsidRDefault="001B2EFA" w:rsidP="001B2EFA">
      <w:pPr>
        <w:spacing w:line="276" w:lineRule="auto"/>
        <w:rPr>
          <w:rFonts w:cs="David"/>
          <w:b/>
          <w:bCs/>
          <w:sz w:val="28"/>
          <w:szCs w:val="28"/>
          <w:u w:val="single"/>
          <w:rtl/>
        </w:rPr>
      </w:pPr>
    </w:p>
    <w:p w:rsidR="001B2EFA" w:rsidRPr="00F46396" w:rsidRDefault="001B2EFA" w:rsidP="001B2EFA">
      <w:pPr>
        <w:spacing w:line="276" w:lineRule="auto"/>
        <w:rPr>
          <w:rFonts w:cs="David"/>
          <w:b/>
          <w:bCs/>
          <w:sz w:val="28"/>
          <w:szCs w:val="28"/>
          <w:u w:val="single"/>
        </w:rPr>
      </w:pPr>
      <w:r w:rsidRPr="005259B3">
        <w:rPr>
          <w:rFonts w:cs="David" w:hint="cs"/>
          <w:b/>
          <w:bCs/>
          <w:sz w:val="28"/>
          <w:szCs w:val="28"/>
          <w:rtl/>
        </w:rPr>
        <w:t>ח.</w:t>
      </w:r>
      <w:r w:rsidRPr="005259B3">
        <w:rPr>
          <w:rFonts w:cs="David"/>
          <w:b/>
          <w:bCs/>
          <w:sz w:val="28"/>
          <w:szCs w:val="28"/>
          <w:rtl/>
        </w:rPr>
        <w:tab/>
      </w:r>
      <w:proofErr w:type="spellStart"/>
      <w:r>
        <w:rPr>
          <w:rFonts w:cs="David" w:hint="cs"/>
          <w:b/>
          <w:bCs/>
          <w:sz w:val="28"/>
          <w:szCs w:val="28"/>
          <w:u w:val="single"/>
          <w:rtl/>
        </w:rPr>
        <w:t>אומברטו</w:t>
      </w:r>
      <w:proofErr w:type="spellEnd"/>
      <w:r>
        <w:rPr>
          <w:rFonts w:cs="David" w:hint="cs"/>
          <w:b/>
          <w:bCs/>
          <w:sz w:val="28"/>
          <w:szCs w:val="28"/>
          <w:u w:val="single"/>
          <w:rtl/>
        </w:rPr>
        <w:t xml:space="preserve"> אקו</w:t>
      </w:r>
    </w:p>
    <w:p w:rsidR="001B2EFA" w:rsidRDefault="001B2EFA" w:rsidP="001B2EFA">
      <w:pPr>
        <w:pStyle w:val="a8"/>
        <w:numPr>
          <w:ilvl w:val="0"/>
          <w:numId w:val="5"/>
        </w:numPr>
        <w:spacing w:line="276" w:lineRule="auto"/>
        <w:jc w:val="both"/>
        <w:rPr>
          <w:rFonts w:cs="David"/>
        </w:rPr>
      </w:pPr>
      <w:r w:rsidRPr="005259B3">
        <w:rPr>
          <w:rFonts w:cs="David" w:hint="cs"/>
          <w:rtl/>
        </w:rPr>
        <w:t xml:space="preserve">משה צוקרמן, פרקים בסוציולוגיה של האמנות, תל-אביב: מטכ"ל/קצין חינוך ראשי/גלי צה"ל, משרד </w:t>
      </w:r>
      <w:proofErr w:type="spellStart"/>
      <w:r w:rsidRPr="005259B3">
        <w:rPr>
          <w:rFonts w:cs="David" w:hint="cs"/>
          <w:rtl/>
        </w:rPr>
        <w:t>הבטחון</w:t>
      </w:r>
      <w:proofErr w:type="spellEnd"/>
      <w:r w:rsidRPr="005259B3">
        <w:rPr>
          <w:rFonts w:cs="David" w:hint="cs"/>
          <w:rtl/>
        </w:rPr>
        <w:t>-ההוצאה לאור, תשנ"ו-1996, עמ'</w:t>
      </w:r>
      <w:r>
        <w:rPr>
          <w:rFonts w:cs="David" w:hint="cs"/>
          <w:rtl/>
        </w:rPr>
        <w:t xml:space="preserve"> 121-79.</w:t>
      </w:r>
    </w:p>
    <w:p w:rsidR="001B2EFA" w:rsidRDefault="001B2EFA" w:rsidP="001B2EFA">
      <w:pPr>
        <w:spacing w:line="276" w:lineRule="auto"/>
        <w:jc w:val="both"/>
        <w:rPr>
          <w:rFonts w:cs="David"/>
          <w:u w:val="single"/>
          <w:rtl/>
        </w:rPr>
      </w:pPr>
    </w:p>
    <w:p w:rsidR="001B2EFA" w:rsidRPr="000303EA" w:rsidRDefault="001B2EFA" w:rsidP="001B2EFA">
      <w:pPr>
        <w:spacing w:line="276" w:lineRule="auto"/>
        <w:ind w:left="720"/>
        <w:jc w:val="both"/>
        <w:rPr>
          <w:rFonts w:cs="David"/>
          <w:u w:val="single"/>
          <w:rtl/>
        </w:rPr>
      </w:pPr>
      <w:r w:rsidRPr="000303EA">
        <w:rPr>
          <w:rFonts w:cs="David" w:hint="cs"/>
          <w:u w:val="single"/>
          <w:rtl/>
        </w:rPr>
        <w:t>קריאת רשות:</w:t>
      </w:r>
    </w:p>
    <w:p w:rsidR="001B2EFA" w:rsidRPr="00AE64A2" w:rsidRDefault="001B2EFA" w:rsidP="001B2EFA">
      <w:pPr>
        <w:pStyle w:val="a8"/>
        <w:numPr>
          <w:ilvl w:val="0"/>
          <w:numId w:val="5"/>
        </w:numPr>
        <w:spacing w:line="276" w:lineRule="auto"/>
        <w:jc w:val="both"/>
        <w:rPr>
          <w:rFonts w:cs="David"/>
          <w:rtl/>
        </w:rPr>
      </w:pPr>
      <w:r>
        <w:rPr>
          <w:rFonts w:cs="David"/>
        </w:rPr>
        <w:t xml:space="preserve">Umberto Eco, </w:t>
      </w:r>
      <w:proofErr w:type="gramStart"/>
      <w:r>
        <w:rPr>
          <w:rFonts w:cs="David"/>
        </w:rPr>
        <w:t>The</w:t>
      </w:r>
      <w:proofErr w:type="gramEnd"/>
      <w:r>
        <w:rPr>
          <w:rFonts w:cs="David"/>
        </w:rPr>
        <w:t xml:space="preserve"> Open Work, Harvard University Press, Cambridge, Massachusetts, 1989.</w:t>
      </w:r>
    </w:p>
    <w:p w:rsidR="001B2EFA" w:rsidRDefault="001B2EFA" w:rsidP="001B2EFA">
      <w:pPr>
        <w:spacing w:line="276" w:lineRule="auto"/>
        <w:rPr>
          <w:rFonts w:cs="David"/>
          <w:b/>
          <w:bCs/>
          <w:sz w:val="28"/>
          <w:szCs w:val="28"/>
          <w:u w:val="single"/>
          <w:rtl/>
        </w:rPr>
      </w:pPr>
    </w:p>
    <w:p w:rsidR="001B2EFA" w:rsidRPr="00F46396" w:rsidRDefault="001B2EFA" w:rsidP="001B2EFA">
      <w:pPr>
        <w:spacing w:line="276" w:lineRule="auto"/>
        <w:rPr>
          <w:rFonts w:cs="David"/>
          <w:b/>
          <w:bCs/>
          <w:sz w:val="28"/>
          <w:szCs w:val="28"/>
          <w:u w:val="single"/>
        </w:rPr>
      </w:pPr>
      <w:r w:rsidRPr="005259B3">
        <w:rPr>
          <w:rFonts w:cs="David" w:hint="cs"/>
          <w:b/>
          <w:bCs/>
          <w:sz w:val="28"/>
          <w:szCs w:val="28"/>
          <w:rtl/>
        </w:rPr>
        <w:t>ט.</w:t>
      </w:r>
      <w:r w:rsidRPr="005259B3">
        <w:rPr>
          <w:rFonts w:cs="David"/>
          <w:b/>
          <w:bCs/>
          <w:sz w:val="28"/>
          <w:szCs w:val="28"/>
          <w:rtl/>
        </w:rPr>
        <w:tab/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פייר </w:t>
      </w:r>
      <w:proofErr w:type="spellStart"/>
      <w:r>
        <w:rPr>
          <w:rFonts w:cs="David" w:hint="cs"/>
          <w:b/>
          <w:bCs/>
          <w:sz w:val="28"/>
          <w:szCs w:val="28"/>
          <w:u w:val="single"/>
          <w:rtl/>
        </w:rPr>
        <w:t>בורדייה</w:t>
      </w:r>
      <w:proofErr w:type="spellEnd"/>
    </w:p>
    <w:p w:rsidR="001B2EFA" w:rsidRDefault="001B2EFA" w:rsidP="001B2EFA">
      <w:pPr>
        <w:pStyle w:val="a8"/>
        <w:numPr>
          <w:ilvl w:val="0"/>
          <w:numId w:val="13"/>
        </w:numPr>
        <w:spacing w:line="276" w:lineRule="auto"/>
        <w:jc w:val="both"/>
        <w:rPr>
          <w:rFonts w:cs="David"/>
        </w:rPr>
      </w:pPr>
      <w:r w:rsidRPr="005259B3">
        <w:rPr>
          <w:rFonts w:cs="David" w:hint="cs"/>
          <w:rtl/>
        </w:rPr>
        <w:t xml:space="preserve">משה צוקרמן, פרקים בסוציולוגיה של האמנות, תל-אביב: מטכ"ל/קצין חינוך ראשי/גלי צה"ל, משרד </w:t>
      </w:r>
      <w:proofErr w:type="spellStart"/>
      <w:r w:rsidRPr="005259B3">
        <w:rPr>
          <w:rFonts w:cs="David" w:hint="cs"/>
          <w:rtl/>
        </w:rPr>
        <w:t>הבטחון</w:t>
      </w:r>
      <w:proofErr w:type="spellEnd"/>
      <w:r w:rsidRPr="005259B3">
        <w:rPr>
          <w:rFonts w:cs="David" w:hint="cs"/>
          <w:rtl/>
        </w:rPr>
        <w:t xml:space="preserve">-ההוצאה לאור, תשנ"ו-1996, עמ' </w:t>
      </w:r>
      <w:r>
        <w:rPr>
          <w:rFonts w:cs="David" w:hint="cs"/>
          <w:rtl/>
        </w:rPr>
        <w:t>132-122.</w:t>
      </w:r>
    </w:p>
    <w:p w:rsidR="001B2EFA" w:rsidRDefault="001B2EFA" w:rsidP="001B2EFA">
      <w:pPr>
        <w:spacing w:line="276" w:lineRule="auto"/>
        <w:ind w:left="720"/>
        <w:jc w:val="both"/>
        <w:rPr>
          <w:rFonts w:cs="David"/>
          <w:u w:val="single"/>
          <w:rtl/>
        </w:rPr>
      </w:pPr>
    </w:p>
    <w:p w:rsidR="001B2EFA" w:rsidRPr="000303EA" w:rsidRDefault="001B2EFA" w:rsidP="001B2EFA">
      <w:pPr>
        <w:spacing w:line="276" w:lineRule="auto"/>
        <w:ind w:left="720"/>
        <w:jc w:val="both"/>
        <w:rPr>
          <w:rFonts w:cs="David"/>
          <w:u w:val="single"/>
          <w:rtl/>
        </w:rPr>
      </w:pPr>
      <w:r w:rsidRPr="000303EA">
        <w:rPr>
          <w:rFonts w:cs="David" w:hint="cs"/>
          <w:u w:val="single"/>
          <w:rtl/>
        </w:rPr>
        <w:t>קריאת רשות:</w:t>
      </w:r>
    </w:p>
    <w:p w:rsidR="001B2EFA" w:rsidRDefault="001B2EFA" w:rsidP="001B2EFA">
      <w:pPr>
        <w:pStyle w:val="a8"/>
        <w:numPr>
          <w:ilvl w:val="0"/>
          <w:numId w:val="13"/>
        </w:numPr>
        <w:spacing w:line="276" w:lineRule="auto"/>
        <w:jc w:val="both"/>
        <w:rPr>
          <w:rFonts w:cs="David"/>
        </w:rPr>
      </w:pPr>
      <w:r>
        <w:rPr>
          <w:rFonts w:cs="David"/>
        </w:rPr>
        <w:t xml:space="preserve">Pierre Bourdieu, Distinction. A Social Critique of the Judgement of Taste, (translated by Richard Nice), Harvard University Press, Cambridge, Massachusetts, 1984. </w:t>
      </w:r>
    </w:p>
    <w:p w:rsidR="001B2EFA" w:rsidRDefault="001B2EFA" w:rsidP="001B2EFA">
      <w:pPr>
        <w:spacing w:line="276" w:lineRule="auto"/>
        <w:rPr>
          <w:rFonts w:cs="David"/>
          <w:b/>
          <w:bCs/>
          <w:sz w:val="28"/>
          <w:szCs w:val="28"/>
          <w:u w:val="single"/>
          <w:rtl/>
        </w:rPr>
      </w:pPr>
    </w:p>
    <w:p w:rsidR="001B2EFA" w:rsidRPr="00F46396" w:rsidRDefault="001B2EFA" w:rsidP="001B2EFA">
      <w:pPr>
        <w:spacing w:line="276" w:lineRule="auto"/>
        <w:rPr>
          <w:rFonts w:cs="David"/>
          <w:b/>
          <w:bCs/>
          <w:sz w:val="28"/>
          <w:szCs w:val="28"/>
          <w:u w:val="single"/>
        </w:rPr>
      </w:pPr>
      <w:r w:rsidRPr="005259B3">
        <w:rPr>
          <w:rFonts w:cs="David" w:hint="cs"/>
          <w:b/>
          <w:bCs/>
          <w:sz w:val="28"/>
          <w:szCs w:val="28"/>
          <w:rtl/>
        </w:rPr>
        <w:t>י.</w:t>
      </w:r>
      <w:r w:rsidRPr="005259B3">
        <w:rPr>
          <w:rFonts w:cs="David"/>
          <w:b/>
          <w:bCs/>
          <w:sz w:val="28"/>
          <w:szCs w:val="28"/>
          <w:rtl/>
        </w:rPr>
        <w:tab/>
      </w:r>
      <w:r>
        <w:rPr>
          <w:rFonts w:cs="David" w:hint="cs"/>
          <w:b/>
          <w:bCs/>
          <w:sz w:val="28"/>
          <w:szCs w:val="28"/>
          <w:u w:val="single"/>
          <w:rtl/>
        </w:rPr>
        <w:t>הפוסטמודרניזם</w:t>
      </w:r>
    </w:p>
    <w:p w:rsidR="001B2EFA" w:rsidRDefault="001B2EFA" w:rsidP="001B2EFA">
      <w:pPr>
        <w:pStyle w:val="a8"/>
        <w:numPr>
          <w:ilvl w:val="0"/>
          <w:numId w:val="6"/>
        </w:numPr>
        <w:spacing w:line="276" w:lineRule="auto"/>
        <w:jc w:val="both"/>
        <w:rPr>
          <w:rFonts w:cs="David"/>
        </w:rPr>
      </w:pPr>
      <w:r w:rsidRPr="005259B3">
        <w:rPr>
          <w:rFonts w:cs="David" w:hint="cs"/>
          <w:rtl/>
        </w:rPr>
        <w:t xml:space="preserve">משה צוקרמן, פרקים בסוציולוגיה של האמנות, תל-אביב: מטכ"ל/קצין חינוך ראשי/גלי צה"ל, משרד </w:t>
      </w:r>
      <w:proofErr w:type="spellStart"/>
      <w:r w:rsidRPr="005259B3">
        <w:rPr>
          <w:rFonts w:cs="David" w:hint="cs"/>
          <w:rtl/>
        </w:rPr>
        <w:t>הבטחון</w:t>
      </w:r>
      <w:proofErr w:type="spellEnd"/>
      <w:r w:rsidRPr="005259B3">
        <w:rPr>
          <w:rFonts w:cs="David" w:hint="cs"/>
          <w:rtl/>
        </w:rPr>
        <w:t xml:space="preserve">-ההוצאה לאור, תשנ"ו-1996, עמ' </w:t>
      </w:r>
      <w:r>
        <w:rPr>
          <w:rFonts w:cs="David" w:hint="cs"/>
          <w:rtl/>
        </w:rPr>
        <w:t>143-133.</w:t>
      </w:r>
    </w:p>
    <w:p w:rsidR="001B2EFA" w:rsidRPr="007651C4" w:rsidRDefault="001B2EFA" w:rsidP="001B2EFA">
      <w:pPr>
        <w:pStyle w:val="a8"/>
        <w:numPr>
          <w:ilvl w:val="0"/>
          <w:numId w:val="6"/>
        </w:numPr>
        <w:spacing w:line="276" w:lineRule="auto"/>
        <w:jc w:val="both"/>
        <w:rPr>
          <w:rFonts w:cs="David"/>
          <w:rtl/>
        </w:rPr>
      </w:pPr>
      <w:proofErr w:type="spellStart"/>
      <w:r>
        <w:rPr>
          <w:rFonts w:cs="David" w:hint="cs"/>
          <w:rtl/>
        </w:rPr>
        <w:lastRenderedPageBreak/>
        <w:t>פרידריק</w:t>
      </w:r>
      <w:proofErr w:type="spellEnd"/>
      <w:r>
        <w:rPr>
          <w:rFonts w:cs="David" w:hint="cs"/>
          <w:rtl/>
        </w:rPr>
        <w:t xml:space="preserve"> </w:t>
      </w:r>
      <w:proofErr w:type="spellStart"/>
      <w:r>
        <w:rPr>
          <w:rFonts w:cs="David" w:hint="cs"/>
          <w:rtl/>
        </w:rPr>
        <w:t>ג'יימסון</w:t>
      </w:r>
      <w:proofErr w:type="spellEnd"/>
      <w:r>
        <w:rPr>
          <w:rFonts w:cs="David" w:hint="cs"/>
          <w:rtl/>
        </w:rPr>
        <w:t xml:space="preserve">, פוסטמודרניזם וחברת הצריכה, בתוך: המפנה התרבותי, מבחר כתבים על הפוסטמודרני, 1998-1993, </w:t>
      </w:r>
      <w:proofErr w:type="spellStart"/>
      <w:r>
        <w:rPr>
          <w:rFonts w:cs="David" w:hint="cs"/>
          <w:rtl/>
        </w:rPr>
        <w:t>תרגמו:דליה</w:t>
      </w:r>
      <w:proofErr w:type="spellEnd"/>
      <w:r>
        <w:rPr>
          <w:rFonts w:cs="David" w:hint="cs"/>
          <w:rtl/>
        </w:rPr>
        <w:t xml:space="preserve"> </w:t>
      </w:r>
      <w:proofErr w:type="spellStart"/>
      <w:r>
        <w:rPr>
          <w:rFonts w:cs="David" w:hint="cs"/>
          <w:rtl/>
        </w:rPr>
        <w:t>טסלר</w:t>
      </w:r>
      <w:proofErr w:type="spellEnd"/>
      <w:r>
        <w:rPr>
          <w:rFonts w:cs="David" w:hint="cs"/>
          <w:rtl/>
        </w:rPr>
        <w:t>, דרור ק' לוי, הוצאת רסלינג 2009, עמ' 36-13.</w:t>
      </w:r>
    </w:p>
    <w:p w:rsidR="001B2EFA" w:rsidRDefault="001B2EFA" w:rsidP="001B2EFA">
      <w:pPr>
        <w:spacing w:line="276" w:lineRule="auto"/>
        <w:rPr>
          <w:rFonts w:cs="David"/>
          <w:b/>
          <w:bCs/>
          <w:sz w:val="28"/>
          <w:szCs w:val="28"/>
          <w:u w:val="single"/>
          <w:rtl/>
        </w:rPr>
      </w:pPr>
    </w:p>
    <w:p w:rsidR="001B2EFA" w:rsidRPr="00F46396" w:rsidRDefault="001B2EFA" w:rsidP="001B2EFA">
      <w:pPr>
        <w:spacing w:line="276" w:lineRule="auto"/>
        <w:rPr>
          <w:rFonts w:cs="David"/>
          <w:b/>
          <w:bCs/>
          <w:sz w:val="28"/>
          <w:szCs w:val="28"/>
          <w:u w:val="single"/>
        </w:rPr>
      </w:pPr>
      <w:r w:rsidRPr="005259B3">
        <w:rPr>
          <w:rFonts w:cs="David" w:hint="cs"/>
          <w:b/>
          <w:bCs/>
          <w:sz w:val="28"/>
          <w:szCs w:val="28"/>
          <w:rtl/>
        </w:rPr>
        <w:t>יא.</w:t>
      </w:r>
      <w:r w:rsidRPr="005259B3">
        <w:rPr>
          <w:rFonts w:cs="David"/>
          <w:b/>
          <w:bCs/>
          <w:sz w:val="28"/>
          <w:szCs w:val="28"/>
          <w:rtl/>
        </w:rPr>
        <w:tab/>
      </w:r>
      <w:r>
        <w:rPr>
          <w:rFonts w:cs="David" w:hint="cs"/>
          <w:b/>
          <w:bCs/>
          <w:sz w:val="28"/>
          <w:szCs w:val="28"/>
          <w:u w:val="single"/>
          <w:rtl/>
        </w:rPr>
        <w:t>סיכום</w:t>
      </w:r>
    </w:p>
    <w:p w:rsidR="001B2EFA" w:rsidRDefault="001B2EFA" w:rsidP="001B2EFA">
      <w:pPr>
        <w:pStyle w:val="a8"/>
        <w:numPr>
          <w:ilvl w:val="0"/>
          <w:numId w:val="7"/>
        </w:numPr>
        <w:spacing w:line="276" w:lineRule="auto"/>
        <w:jc w:val="both"/>
        <w:rPr>
          <w:rFonts w:cs="David"/>
        </w:rPr>
      </w:pPr>
      <w:r w:rsidRPr="005259B3">
        <w:rPr>
          <w:rFonts w:cs="David" w:hint="cs"/>
          <w:rtl/>
        </w:rPr>
        <w:t xml:space="preserve">משה צוקרמן, פרקים בסוציולוגיה של האמנות, תל-אביב: מטכ"ל/קצין חינוך ראשי/גלי צה"ל, משרד </w:t>
      </w:r>
      <w:proofErr w:type="spellStart"/>
      <w:r w:rsidRPr="005259B3">
        <w:rPr>
          <w:rFonts w:cs="David" w:hint="cs"/>
          <w:rtl/>
        </w:rPr>
        <w:t>הבטחון</w:t>
      </w:r>
      <w:proofErr w:type="spellEnd"/>
      <w:r w:rsidRPr="005259B3">
        <w:rPr>
          <w:rFonts w:cs="David" w:hint="cs"/>
          <w:rtl/>
        </w:rPr>
        <w:t xml:space="preserve">-ההוצאה לאור, תשנ"ו-1996, עמ' </w:t>
      </w:r>
      <w:r>
        <w:rPr>
          <w:rFonts w:cs="David" w:hint="cs"/>
          <w:rtl/>
        </w:rPr>
        <w:t>159-144.</w:t>
      </w:r>
    </w:p>
    <w:p w:rsidR="001B2EFA" w:rsidRPr="00F46396" w:rsidRDefault="001B2EFA" w:rsidP="001B2EFA">
      <w:pPr>
        <w:spacing w:line="276" w:lineRule="auto"/>
        <w:rPr>
          <w:rtl/>
        </w:rPr>
      </w:pPr>
    </w:p>
    <w:p w:rsidR="001B2EFA" w:rsidRDefault="001B2EFA" w:rsidP="001B2EFA">
      <w:pPr>
        <w:spacing w:line="276" w:lineRule="auto"/>
        <w:rPr>
          <w:rFonts w:cs="David"/>
          <w:b/>
          <w:bCs/>
          <w:sz w:val="28"/>
          <w:szCs w:val="28"/>
          <w:u w:val="single"/>
          <w:rtl/>
        </w:rPr>
      </w:pPr>
    </w:p>
    <w:p w:rsidR="001B2EFA" w:rsidRPr="00AE64A2" w:rsidRDefault="001B2EFA" w:rsidP="001B2EFA">
      <w:pPr>
        <w:spacing w:line="276" w:lineRule="auto"/>
      </w:pPr>
    </w:p>
    <w:p w:rsidR="00051AD2" w:rsidRPr="001B2EFA" w:rsidRDefault="00051AD2" w:rsidP="001B2EFA">
      <w:pPr>
        <w:spacing w:line="276" w:lineRule="auto"/>
        <w:rPr>
          <w:rtl/>
        </w:rPr>
      </w:pPr>
    </w:p>
    <w:sectPr w:rsidR="00051AD2" w:rsidRPr="001B2EFA" w:rsidSect="006A02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558" w:bottom="1440" w:left="15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423" w:rsidRDefault="00C80423">
      <w:r>
        <w:separator/>
      </w:r>
    </w:p>
  </w:endnote>
  <w:endnote w:type="continuationSeparator" w:id="0">
    <w:p w:rsidR="00C80423" w:rsidRDefault="00C80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BCF" w:rsidRDefault="00AF4BC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83" w:rsidRDefault="00EE0B83">
    <w:pPr>
      <w:pStyle w:val="a4"/>
      <w:jc w:val="center"/>
      <w:rPr>
        <w:rFonts w:ascii="Arial" w:hAnsi="Arial" w:cs="Arial"/>
        <w:sz w:val="18"/>
        <w:szCs w:val="18"/>
        <w:rtl/>
      </w:rPr>
    </w:pPr>
  </w:p>
  <w:p w:rsidR="00A90047" w:rsidRDefault="00A90047" w:rsidP="00144A93">
    <w:pPr>
      <w:pStyle w:val="a4"/>
      <w:jc w:val="center"/>
      <w:rPr>
        <w:rFonts w:ascii="Arial" w:hAnsi="Arial" w:cs="Arial"/>
        <w:sz w:val="18"/>
        <w:szCs w:val="18"/>
        <w:rtl/>
      </w:rPr>
    </w:pPr>
    <w:r>
      <w:rPr>
        <w:rFonts w:ascii="Arial" w:hAnsi="Arial" w:cs="Arial" w:hint="cs"/>
        <w:sz w:val="18"/>
        <w:szCs w:val="18"/>
        <w:rtl/>
      </w:rPr>
      <w:t>אוניברסיטת תל אביב,</w:t>
    </w:r>
    <w:r w:rsidR="005C6CA9">
      <w:rPr>
        <w:rFonts w:ascii="Arial" w:hAnsi="Arial" w:cs="Arial" w:hint="cs"/>
        <w:sz w:val="18"/>
        <w:szCs w:val="18"/>
        <w:rtl/>
      </w:rPr>
      <w:t xml:space="preserve"> </w:t>
    </w:r>
    <w:proofErr w:type="spellStart"/>
    <w:r w:rsidR="005C6CA9">
      <w:rPr>
        <w:rFonts w:ascii="Arial" w:hAnsi="Arial" w:cs="Arial" w:hint="cs"/>
        <w:sz w:val="18"/>
        <w:szCs w:val="18"/>
        <w:rtl/>
      </w:rPr>
      <w:t>קרית</w:t>
    </w:r>
    <w:proofErr w:type="spellEnd"/>
    <w:r w:rsidR="005C6CA9">
      <w:rPr>
        <w:rFonts w:ascii="Arial" w:hAnsi="Arial" w:cs="Arial" w:hint="cs"/>
        <w:sz w:val="18"/>
        <w:szCs w:val="18"/>
        <w:rtl/>
      </w:rPr>
      <w:t xml:space="preserve"> האוניברסיטה, רמת אביב, תל </w:t>
    </w:r>
    <w:r>
      <w:rPr>
        <w:rFonts w:ascii="Arial" w:hAnsi="Arial" w:cs="Arial" w:hint="cs"/>
        <w:sz w:val="18"/>
        <w:szCs w:val="18"/>
        <w:rtl/>
      </w:rPr>
      <w:t>אביב 69978</w:t>
    </w:r>
    <w:r w:rsidR="00B26091">
      <w:rPr>
        <w:rFonts w:ascii="Arial" w:hAnsi="Arial" w:cs="Arial" w:hint="cs"/>
        <w:sz w:val="18"/>
        <w:szCs w:val="18"/>
        <w:rtl/>
      </w:rPr>
      <w:t>01</w:t>
    </w:r>
    <w:r>
      <w:rPr>
        <w:rFonts w:ascii="Arial" w:hAnsi="Arial" w:cs="Arial" w:hint="cs"/>
        <w:sz w:val="18"/>
        <w:szCs w:val="18"/>
        <w:rtl/>
      </w:rPr>
      <w:t xml:space="preserve"> טל' </w:t>
    </w:r>
    <w:r w:rsidR="00144A93">
      <w:rPr>
        <w:rFonts w:ascii="Arial" w:hAnsi="Arial" w:cs="Arial" w:hint="cs"/>
        <w:sz w:val="18"/>
        <w:szCs w:val="18"/>
        <w:rtl/>
      </w:rPr>
      <w:t>03-6407584</w:t>
    </w:r>
    <w:r>
      <w:rPr>
        <w:rFonts w:ascii="Arial" w:hAnsi="Arial" w:cs="Arial" w:hint="cs"/>
        <w:sz w:val="18"/>
        <w:szCs w:val="18"/>
        <w:rtl/>
      </w:rPr>
      <w:t xml:space="preserve"> , פקס' </w:t>
    </w:r>
    <w:r w:rsidR="00144A93">
      <w:rPr>
        <w:rFonts w:ascii="Arial" w:hAnsi="Arial" w:cs="Arial" w:hint="cs"/>
        <w:sz w:val="18"/>
        <w:szCs w:val="18"/>
        <w:rtl/>
      </w:rPr>
      <w:t>03-6407174</w:t>
    </w:r>
    <w:r>
      <w:rPr>
        <w:rFonts w:ascii="Arial" w:hAnsi="Arial" w:cs="Arial" w:hint="cs"/>
        <w:sz w:val="18"/>
        <w:szCs w:val="18"/>
        <w:rtl/>
      </w:rPr>
      <w:t xml:space="preserve"> </w:t>
    </w:r>
  </w:p>
  <w:p w:rsidR="00A90047" w:rsidRPr="00144A93" w:rsidRDefault="00144A93" w:rsidP="00144A93">
    <w:pPr>
      <w:pStyle w:val="a4"/>
      <w:jc w:val="center"/>
      <w:rPr>
        <w:rFonts w:ascii="Arial" w:hAnsi="Arial" w:cs="Arial"/>
        <w:sz w:val="16"/>
        <w:szCs w:val="16"/>
        <w:rtl/>
      </w:rPr>
    </w:pPr>
    <w:r>
      <w:rPr>
        <w:rFonts w:ascii="Arial" w:hAnsi="Arial" w:cs="Arial" w:hint="cs"/>
        <w:sz w:val="18"/>
        <w:szCs w:val="18"/>
        <w:rtl/>
      </w:rPr>
      <w:t xml:space="preserve">דוא"ל: </w:t>
    </w:r>
    <w:hyperlink r:id="rId1" w:history="1">
      <w:r w:rsidRPr="002B5385">
        <w:rPr>
          <w:rStyle w:val="Hyperlink"/>
          <w:rFonts w:ascii="Arial" w:hAnsi="Arial" w:cs="Arial"/>
          <w:sz w:val="18"/>
          <w:szCs w:val="18"/>
        </w:rPr>
        <w:t>core@tauex.tau.ac.il</w:t>
      </w:r>
    </w:hyperlink>
    <w:r>
      <w:rPr>
        <w:rFonts w:ascii="Arial" w:hAnsi="Arial" w:cs="Arial" w:hint="cs"/>
        <w:sz w:val="18"/>
        <w:szCs w:val="18"/>
        <w:rtl/>
      </w:rPr>
      <w:t xml:space="preserve">           כדאי לבקר באתר התכנית: </w:t>
    </w:r>
    <w:hyperlink r:id="rId2" w:history="1">
      <w:r w:rsidRPr="00144A93">
        <w:rPr>
          <w:rStyle w:val="Hyperlink"/>
          <w:rFonts w:ascii="Arial" w:hAnsi="Arial" w:cs="Arial"/>
          <w:sz w:val="18"/>
          <w:szCs w:val="18"/>
        </w:rPr>
        <w:t>core.tau.ac.il</w:t>
      </w:r>
    </w:hyperlink>
  </w:p>
  <w:p w:rsidR="00144A93" w:rsidRDefault="00144A93">
    <w:pPr>
      <w:pStyle w:val="a4"/>
      <w:tabs>
        <w:tab w:val="clear" w:pos="8306"/>
        <w:tab w:val="right" w:pos="8666"/>
      </w:tabs>
      <w:ind w:left="-874" w:right="-36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BCF" w:rsidRDefault="00AF4BC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423" w:rsidRDefault="00C80423">
      <w:r>
        <w:separator/>
      </w:r>
    </w:p>
  </w:footnote>
  <w:footnote w:type="continuationSeparator" w:id="0">
    <w:p w:rsidR="00C80423" w:rsidRDefault="00C80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BCF" w:rsidRDefault="00AF4B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BCF" w:rsidRDefault="00AF4BCF">
    <w:pPr>
      <w:pStyle w:val="a3"/>
      <w:jc w:val="cent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-232703</wp:posOffset>
          </wp:positionV>
          <wp:extent cx="1372235" cy="791210"/>
          <wp:effectExtent l="0" t="0" r="0" b="8890"/>
          <wp:wrapSquare wrapText="bothSides"/>
          <wp:docPr id="8" name="תמונה 8" descr="TAU ENG+HEB_bold Logo_Upd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U ENG+HEB_bold Logo_Upda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F4BCF" w:rsidRDefault="00AF4BCF">
    <w:pPr>
      <w:pStyle w:val="a3"/>
      <w:jc w:val="center"/>
    </w:pPr>
  </w:p>
  <w:p w:rsidR="00AF4BCF" w:rsidRDefault="00AF4BCF">
    <w:pPr>
      <w:pStyle w:val="a3"/>
      <w:jc w:val="center"/>
    </w:pPr>
  </w:p>
  <w:p w:rsidR="00AF4BCF" w:rsidRPr="00AF4BCF" w:rsidRDefault="00AF4BCF">
    <w:pPr>
      <w:pStyle w:val="a3"/>
      <w:jc w:val="center"/>
      <w:rPr>
        <w:sz w:val="2"/>
        <w:szCs w:val="2"/>
      </w:rPr>
    </w:pPr>
  </w:p>
  <w:p w:rsidR="00144A93" w:rsidRPr="00144A93" w:rsidRDefault="00144A93">
    <w:pPr>
      <w:pStyle w:val="a3"/>
      <w:jc w:val="center"/>
      <w:rPr>
        <w:sz w:val="4"/>
        <w:szCs w:val="4"/>
      </w:rPr>
    </w:pPr>
  </w:p>
  <w:p w:rsidR="00144A93" w:rsidRPr="00144A93" w:rsidRDefault="00144A93">
    <w:pPr>
      <w:pStyle w:val="a3"/>
      <w:jc w:val="center"/>
      <w:rPr>
        <w:rFonts w:ascii="Arial" w:hAnsi="Arial" w:cs="Arial"/>
        <w:sz w:val="34"/>
        <w:szCs w:val="34"/>
        <w:rtl/>
      </w:rPr>
    </w:pPr>
    <w:r w:rsidRPr="00144A93">
      <w:rPr>
        <w:rFonts w:ascii="Arial" w:hAnsi="Arial" w:cs="Arial"/>
        <w:sz w:val="34"/>
        <w:szCs w:val="34"/>
        <w:rtl/>
      </w:rPr>
      <w:t>תכנית כלים שלובים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BCF" w:rsidRDefault="00AF4B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17A14"/>
    <w:multiLevelType w:val="hybridMultilevel"/>
    <w:tmpl w:val="1DD02D76"/>
    <w:lvl w:ilvl="0" w:tplc="66C2A7E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B669B2"/>
    <w:multiLevelType w:val="hybridMultilevel"/>
    <w:tmpl w:val="32FE9254"/>
    <w:lvl w:ilvl="0" w:tplc="496658E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4F0524"/>
    <w:multiLevelType w:val="hybridMultilevel"/>
    <w:tmpl w:val="8AA0A1F0"/>
    <w:lvl w:ilvl="0" w:tplc="02A6D3CA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CC1FEE"/>
    <w:multiLevelType w:val="hybridMultilevel"/>
    <w:tmpl w:val="1116E9E0"/>
    <w:lvl w:ilvl="0" w:tplc="AAACF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DA6FB0"/>
    <w:multiLevelType w:val="hybridMultilevel"/>
    <w:tmpl w:val="01800E0C"/>
    <w:lvl w:ilvl="0" w:tplc="31864C5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AC71E1"/>
    <w:multiLevelType w:val="hybridMultilevel"/>
    <w:tmpl w:val="1116E9E0"/>
    <w:lvl w:ilvl="0" w:tplc="AAACF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D053C1"/>
    <w:multiLevelType w:val="hybridMultilevel"/>
    <w:tmpl w:val="1116E9E0"/>
    <w:lvl w:ilvl="0" w:tplc="AAACF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6966F3"/>
    <w:multiLevelType w:val="hybridMultilevel"/>
    <w:tmpl w:val="1116E9E0"/>
    <w:lvl w:ilvl="0" w:tplc="AAACF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C54D3B"/>
    <w:multiLevelType w:val="hybridMultilevel"/>
    <w:tmpl w:val="1116E9E0"/>
    <w:lvl w:ilvl="0" w:tplc="AAACF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00048F"/>
    <w:multiLevelType w:val="hybridMultilevel"/>
    <w:tmpl w:val="1116E9E0"/>
    <w:lvl w:ilvl="0" w:tplc="AAACF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1E2A40"/>
    <w:multiLevelType w:val="hybridMultilevel"/>
    <w:tmpl w:val="50122006"/>
    <w:lvl w:ilvl="0" w:tplc="61F0C1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816D5D"/>
    <w:multiLevelType w:val="hybridMultilevel"/>
    <w:tmpl w:val="1116E9E0"/>
    <w:lvl w:ilvl="0" w:tplc="AAACF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8356C2"/>
    <w:multiLevelType w:val="hybridMultilevel"/>
    <w:tmpl w:val="1116E9E0"/>
    <w:lvl w:ilvl="0" w:tplc="AAACF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5D101C"/>
    <w:multiLevelType w:val="hybridMultilevel"/>
    <w:tmpl w:val="9B0A33D2"/>
    <w:lvl w:ilvl="0" w:tplc="D7407284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3"/>
  </w:num>
  <w:num w:numId="5">
    <w:abstractNumId w:val="12"/>
  </w:num>
  <w:num w:numId="6">
    <w:abstractNumId w:val="8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  <w:num w:numId="11">
    <w:abstractNumId w:val="5"/>
  </w:num>
  <w:num w:numId="12">
    <w:abstractNumId w:val="9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28"/>
    <w:rsid w:val="00017CCC"/>
    <w:rsid w:val="00034270"/>
    <w:rsid w:val="00051AD2"/>
    <w:rsid w:val="00077797"/>
    <w:rsid w:val="00126AC5"/>
    <w:rsid w:val="00144A93"/>
    <w:rsid w:val="001B2EFA"/>
    <w:rsid w:val="001D5BD8"/>
    <w:rsid w:val="002A1374"/>
    <w:rsid w:val="002F0BE1"/>
    <w:rsid w:val="002F3128"/>
    <w:rsid w:val="00304F79"/>
    <w:rsid w:val="003500FB"/>
    <w:rsid w:val="003536B4"/>
    <w:rsid w:val="003B14FD"/>
    <w:rsid w:val="003F0D2B"/>
    <w:rsid w:val="00441628"/>
    <w:rsid w:val="005B19F1"/>
    <w:rsid w:val="005C6CA9"/>
    <w:rsid w:val="00605B84"/>
    <w:rsid w:val="00666D66"/>
    <w:rsid w:val="006A0281"/>
    <w:rsid w:val="00704A16"/>
    <w:rsid w:val="00736832"/>
    <w:rsid w:val="008A0D95"/>
    <w:rsid w:val="008D6B2A"/>
    <w:rsid w:val="00933EEA"/>
    <w:rsid w:val="009C24AB"/>
    <w:rsid w:val="00A17197"/>
    <w:rsid w:val="00A90047"/>
    <w:rsid w:val="00AF4BCF"/>
    <w:rsid w:val="00B26091"/>
    <w:rsid w:val="00B4223E"/>
    <w:rsid w:val="00B57BCE"/>
    <w:rsid w:val="00B7675C"/>
    <w:rsid w:val="00C52AFE"/>
    <w:rsid w:val="00C65181"/>
    <w:rsid w:val="00C80423"/>
    <w:rsid w:val="00CB4ACB"/>
    <w:rsid w:val="00CE5F71"/>
    <w:rsid w:val="00D756B2"/>
    <w:rsid w:val="00DD3307"/>
    <w:rsid w:val="00E10668"/>
    <w:rsid w:val="00EE0B83"/>
    <w:rsid w:val="00F754EA"/>
    <w:rsid w:val="00F92E0E"/>
    <w:rsid w:val="00FC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enu v:ext="edit" fillcolor="none"/>
    </o:shapedefaults>
    <o:shapelayout v:ext="edit">
      <o:idmap v:ext="edit" data="1"/>
    </o:shapelayout>
  </w:shapeDefaults>
  <w:decimalSymbol w:val="."/>
  <w:listSeparator w:val=","/>
  <w14:docId w14:val="3CCFFFC8"/>
  <w15:docId w15:val="{D75F3792-5A6B-4C7B-882E-12335BCB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2F3128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rsid w:val="002F3128"/>
    <w:rPr>
      <w:rFonts w:ascii="Tahoma" w:hAnsi="Tahoma" w:cs="Tahoma"/>
      <w:sz w:val="16"/>
      <w:szCs w:val="16"/>
      <w:lang w:eastAsia="he-IL"/>
    </w:rPr>
  </w:style>
  <w:style w:type="character" w:styleId="Hyperlink">
    <w:name w:val="Hyperlink"/>
    <w:basedOn w:val="a0"/>
    <w:unhideWhenUsed/>
    <w:rsid w:val="00144A9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17197"/>
    <w:pPr>
      <w:ind w:left="720"/>
      <w:contextualSpacing/>
    </w:pPr>
    <w:rPr>
      <w:lang w:eastAsia="en-US"/>
    </w:rPr>
  </w:style>
  <w:style w:type="character" w:customStyle="1" w:styleId="exldetailsdisplayval">
    <w:name w:val="exldetailsdisplayval"/>
    <w:basedOn w:val="a0"/>
    <w:rsid w:val="001B2EFA"/>
  </w:style>
  <w:style w:type="character" w:styleId="HTMLCite">
    <w:name w:val="HTML Cite"/>
    <w:basedOn w:val="a0"/>
    <w:uiPriority w:val="99"/>
    <w:semiHidden/>
    <w:unhideWhenUsed/>
    <w:rsid w:val="001B2E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onoskop.org/images/d/d0/Buerger_Peter_The_Theory_of_the_Avant-Gard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ore.tau.ac.il/" TargetMode="External"/><Relationship Id="rId1" Type="http://schemas.openxmlformats.org/officeDocument/2006/relationships/hyperlink" Target="mailto:core@tauex.tau.ac.i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3142</Characters>
  <Application>Microsoft Office Word</Application>
  <DocSecurity>0</DocSecurity>
  <Lines>26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faculty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ettya</dc:creator>
  <cp:lastModifiedBy>Michal Locker-Eshed</cp:lastModifiedBy>
  <cp:revision>2</cp:revision>
  <cp:lastPrinted>2017-03-05T14:51:00Z</cp:lastPrinted>
  <dcterms:created xsi:type="dcterms:W3CDTF">2019-07-22T11:22:00Z</dcterms:created>
  <dcterms:modified xsi:type="dcterms:W3CDTF">2019-07-22T11:22:00Z</dcterms:modified>
</cp:coreProperties>
</file>