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18" w:rsidRPr="002D6818" w:rsidRDefault="002D6818" w:rsidP="002D6818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 w:rsidRPr="002D6818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>"</w:t>
      </w:r>
      <w:r w:rsidRPr="002D681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האביב</w:t>
      </w:r>
      <w:r w:rsidRPr="002D6818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2D681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הערבי</w:t>
      </w:r>
      <w:r w:rsidRPr="002D6818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": </w:t>
      </w:r>
      <w:r w:rsidRPr="002D681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אלי</w:t>
      </w:r>
      <w:r w:rsidRPr="002D6818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2D681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מזרח</w:t>
      </w:r>
      <w:r w:rsidRPr="002D6818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2D681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תיכון</w:t>
      </w:r>
      <w:r w:rsidRPr="002D6818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2D681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אחר</w:t>
      </w:r>
    </w:p>
    <w:p w:rsidR="002D6818" w:rsidRPr="002D6818" w:rsidRDefault="002D6818" w:rsidP="002D6818">
      <w:pPr>
        <w:spacing w:line="276" w:lineRule="auto"/>
        <w:jc w:val="center"/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</w:pPr>
      <w:r w:rsidRPr="002D681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פרופ' עוזי רבי</w:t>
      </w:r>
    </w:p>
    <w:p w:rsidR="00D2497F" w:rsidRPr="002D6818" w:rsidRDefault="00D2497F" w:rsidP="002D6818">
      <w:pPr>
        <w:spacing w:line="276" w:lineRule="auto"/>
        <w:jc w:val="center"/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</w:pPr>
      <w:r w:rsidRPr="002D681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1880.0622</w:t>
      </w:r>
      <w:r w:rsidR="006478E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 xml:space="preserve"> (תשע"ט)</w:t>
      </w:r>
      <w:bookmarkStart w:id="0" w:name="_GoBack"/>
      <w:bookmarkEnd w:id="0"/>
    </w:p>
    <w:p w:rsidR="00D2497F" w:rsidRPr="00D2497F" w:rsidRDefault="00D2497F" w:rsidP="002D6818">
      <w:pPr>
        <w:bidi w:val="0"/>
        <w:spacing w:after="200" w:line="276" w:lineRule="auto"/>
        <w:rPr>
          <w:rFonts w:asciiTheme="minorHAnsi" w:eastAsiaTheme="minorHAnsi" w:hAnsiTheme="minorHAnsi" w:cstheme="minorBidi"/>
          <w:b/>
          <w:bCs/>
          <w:sz w:val="32"/>
          <w:szCs w:val="32"/>
          <w:rtl/>
          <w:lang w:eastAsia="en-US"/>
        </w:rPr>
      </w:pPr>
      <w:r w:rsidRPr="00D2497F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The Ever-Changing Middle East: A New Geopolitical Panorama</w:t>
      </w:r>
    </w:p>
    <w:p w:rsidR="00D2497F" w:rsidRPr="00D2497F" w:rsidRDefault="00D2497F" w:rsidP="00D2497F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  <w:t>סילבוס מקוצר</w:t>
      </w:r>
    </w:p>
    <w:p w:rsidR="00D2497F" w:rsidRPr="00D2497F" w:rsidRDefault="00D2497F" w:rsidP="00D249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נושאי הקורס: </w:t>
      </w: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  <w:t>1. המהפכה הגיאופוליטית – המפה האלטרנטיבית</w:t>
      </w: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  <w:t>2. סונה ושיעה- עבר ועתיד</w:t>
      </w: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  <w:t>3. דמוקרטיה, דיקטטורה או שמא "דיקטטורה נאורה"?</w:t>
      </w: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  <w:t>4. המזרח התיכון והמעצמות – אופיו של המשחק החדש</w:t>
      </w: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  <w:t>5. תקשורת ואינטרנט במזרח התיכון</w:t>
      </w: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  <w:t>6. איראן והמעצמות – הסכם זמני או קבוע?</w:t>
      </w: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  <w:t>7. מצרים – המאבק בין הדת למדינה</w:t>
      </w: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  <w:t>8. סוריה – מלחמת אזרחים אתנית-דתית</w:t>
      </w: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  <w:t>9. עיראק – החלום ושיברו</w:t>
      </w: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  <w:t>10. חיזבאללה – בין איראן ללבנון</w:t>
      </w: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  <w:t>11. אבו מאזן והרשות הפלשתינית – הסכם אפשרי או עימות מתחדש?</w:t>
      </w: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  <w:t>12. המזרח התיכון 2015 – הערכת מצב</w:t>
      </w:r>
    </w:p>
    <w:p w:rsidR="00D2497F" w:rsidRPr="00D2497F" w:rsidRDefault="00D2497F" w:rsidP="00D2497F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D2497F"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  <w:t>סילבוס מפורט/דף מידע</w:t>
      </w:r>
    </w:p>
    <w:p w:rsidR="00D2497F" w:rsidRPr="00D2497F" w:rsidRDefault="00D2497F" w:rsidP="002D681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D2497F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דרישות:</w:t>
      </w:r>
      <w:r w:rsidR="002D681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</w:t>
      </w:r>
      <w:r w:rsidRPr="00D2497F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השתתפות חובה בשיעורים (80% לפחות).</w:t>
      </w:r>
    </w:p>
    <w:p w:rsidR="00D2497F" w:rsidRPr="00D2497F" w:rsidRDefault="00D2497F" w:rsidP="00D2497F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D2497F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מטלת סיום: מבחן.</w:t>
      </w:r>
    </w:p>
    <w:p w:rsidR="00D2497F" w:rsidRPr="00D2497F" w:rsidRDefault="00D2497F" w:rsidP="00D249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u w:val="single"/>
          <w:lang w:eastAsia="en-US"/>
        </w:rPr>
        <w:t> </w:t>
      </w:r>
    </w:p>
    <w:p w:rsidR="00D2497F" w:rsidRPr="002D6818" w:rsidRDefault="00D2497F" w:rsidP="00D2497F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2D681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ביבליוגרפיה</w:t>
      </w:r>
      <w:r w:rsidRPr="002D6818">
        <w:rPr>
          <w:rFonts w:asciiTheme="minorHAnsi" w:eastAsiaTheme="minorHAnsi" w:hAnsiTheme="minorHAnsi" w:cstheme="minorBidi" w:hint="cs"/>
          <w:b/>
          <w:bCs/>
          <w:sz w:val="22"/>
          <w:szCs w:val="22"/>
          <w:lang w:eastAsia="en-US"/>
        </w:rPr>
        <w:t>:</w:t>
      </w:r>
    </w:p>
    <w:p w:rsidR="00D2497F" w:rsidRPr="00D2497F" w:rsidRDefault="00D2497F" w:rsidP="002D6818">
      <w:pPr>
        <w:spacing w:after="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זיסר</w:t>
      </w:r>
      <w:proofErr w:type="spellEnd"/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, אייל, סוריה: מחאה, מהפכה, מלחמת אזרחים, תל אביב, מרכז משה דיין, 2014</w:t>
      </w: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.</w:t>
      </w:r>
    </w:p>
    <w:p w:rsidR="00D2497F" w:rsidRPr="00D2497F" w:rsidRDefault="00D2497F" w:rsidP="002D6818">
      <w:pPr>
        <w:spacing w:after="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ינאי, ש., רבי, ע., המפרץ הפרסי וחצי-האי הערבי: חברות ומדינות בתהליכי מעבר, תל אביב, מרכז משה דיין, 2014</w:t>
      </w: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.</w:t>
      </w:r>
    </w:p>
    <w:p w:rsidR="00D2497F" w:rsidRPr="00D2497F" w:rsidRDefault="00D2497F" w:rsidP="002D6818">
      <w:pPr>
        <w:spacing w:after="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רבי, עוזי (עורך), זמן איראן, תל אביב, הקיבוץ המאוחד, 2008</w:t>
      </w: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.</w:t>
      </w:r>
    </w:p>
    <w:p w:rsidR="00D2497F" w:rsidRPr="00D2497F" w:rsidRDefault="00D2497F" w:rsidP="002D6818">
      <w:pPr>
        <w:spacing w:after="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רבי, עוזי, סעודיה: ממלכת נפט במבוכי הדת והפוליטיקה, רעננה, האוניברסיטה הפתוחה, 2007</w:t>
      </w: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.</w:t>
      </w:r>
    </w:p>
    <w:p w:rsidR="00D2497F" w:rsidRPr="00D2497F" w:rsidRDefault="00D2497F" w:rsidP="002D6818">
      <w:pPr>
        <w:spacing w:after="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רבי, עוזי, תימן: אנטומיה של מדינה כושלת, תל אביב, מרכז משה דיין, 2014</w:t>
      </w: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.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 xml:space="preserve">Al-Ali, </w:t>
      </w:r>
      <w:proofErr w:type="spellStart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Nadje</w:t>
      </w:r>
      <w:proofErr w:type="spellEnd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. " Gendering the Arab Spring", Middle East Journal of Culture and Communication, 5 (2012), pp. 26–31.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 Al-</w:t>
      </w:r>
      <w:proofErr w:type="spellStart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Anani</w:t>
      </w:r>
      <w:proofErr w:type="spellEnd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, Khalil. "Islamist Parties Post-Arab Spring", Mediterranean Politics, 17:3 (2012), pp. 466-472.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 xml:space="preserve"> Bellin, Eva. " Reconsidering the Robustness of Authoritarianism in the Middle East Lessons from the Arab Spring", </w:t>
      </w:r>
      <w:proofErr w:type="spellStart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Comperative</w:t>
      </w:r>
      <w:proofErr w:type="spellEnd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 xml:space="preserve"> Politics, 44:2 (January 2012), pp. 127-149(23).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lastRenderedPageBreak/>
        <w:t> </w:t>
      </w:r>
      <w:proofErr w:type="spellStart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Berti</w:t>
      </w:r>
      <w:proofErr w:type="spellEnd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 xml:space="preserve">, </w:t>
      </w:r>
      <w:proofErr w:type="spellStart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Benedetta</w:t>
      </w:r>
      <w:proofErr w:type="spellEnd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 xml:space="preserve"> and </w:t>
      </w:r>
      <w:proofErr w:type="spellStart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Yoel</w:t>
      </w:r>
      <w:proofErr w:type="spellEnd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 xml:space="preserve"> </w:t>
      </w:r>
      <w:proofErr w:type="spellStart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Guzansky</w:t>
      </w:r>
      <w:proofErr w:type="spellEnd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. "Is the New Middle East Stuck in Its Sectarian Past?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The Unspoken Dimension of the “Arab Spring"”, Orbis, (Winter 2013), pp.135-151.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 </w:t>
      </w:r>
      <w:proofErr w:type="spellStart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Campante</w:t>
      </w:r>
      <w:proofErr w:type="spellEnd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 xml:space="preserve">, Filipe R. and Davin </w:t>
      </w:r>
      <w:proofErr w:type="spellStart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Chor</w:t>
      </w:r>
      <w:proofErr w:type="spellEnd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. "Why was the Arab World Poised for Revolution? Schooling, Economic Opportunities, and the Arab Spring", The Journal of Economic Perspectives, 26:2 (Spring 2012), pp. 167-187.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 </w:t>
      </w:r>
      <w:proofErr w:type="spellStart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Cavatorta</w:t>
      </w:r>
      <w:proofErr w:type="spellEnd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, Francesco and Michelle Pace. "The Arab Uprisings in Theoretical Perspective – An Introduction", Mediterranean Politics, 17:2 (July, 2012), pp. 125-138.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Frisch, Hillel. "The Egyptian Army and Egypt's ‘Spring’", Journal of Strategic Studies, 36:2 (2013), pp. 180-204.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 </w:t>
      </w:r>
      <w:proofErr w:type="spellStart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Gause</w:t>
      </w:r>
      <w:proofErr w:type="spellEnd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, F Gregory III. "Why Middle East Studies Missed the Arab Spring: The Myth of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Authoritarian Stability", Foreign Affairs, 90:4 (July, 2011), pp. 81-90.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 </w:t>
      </w:r>
      <w:proofErr w:type="spellStart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Gause</w:t>
      </w:r>
      <w:proofErr w:type="spellEnd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, F. Gregory III and Sean L. Yom. "Resilient Royals: How Arab Monarchies Hang On".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Journal of Democracy, 23:4 (October, 2012), pp. 74-88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 xml:space="preserve"> Hoffman, Michael and </w:t>
      </w:r>
      <w:proofErr w:type="spellStart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Amaney</w:t>
      </w:r>
      <w:proofErr w:type="spellEnd"/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 xml:space="preserve"> Jamal. "The Youth and the Arab Spring: Cohort Differences and Similarities", Middle East Law and Governance, 4 (2012), pp. 168–188.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 Linz, Juan J. and Alfred Stepan. "Democratization Theory and the “Arab Spring"”, Journal of Democracy, 24:2 ( April 2013), pp. 15-30.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 Phillips, Christopher. "After the Arab Spring: power shift in the Middle East?: Syria’s bloody Arab Spring". IDEAS reports - special reports, Kitchen, Nicholas (ed.). London: London School of Economics and Political Science, 2012.</w:t>
      </w:r>
    </w:p>
    <w:p w:rsidR="00D2497F" w:rsidRPr="00D2497F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 Susser, Asher. "Tradition and Modernity in the "Arab Spring"", Tel Aviv Notes, 5:21 (November, 2011), pp. 1-3.</w:t>
      </w:r>
    </w:p>
    <w:p w:rsidR="00535EAE" w:rsidRPr="00252CDB" w:rsidRDefault="00D2497F" w:rsidP="002D6818">
      <w:pPr>
        <w:spacing w:after="6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97F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 Worrall, James. "Oman: The “Forgotten” Corner of the Arab Spring", Middle East Policy, 19:3 (Fall 2012), pp. 98-115.</w:t>
      </w:r>
    </w:p>
    <w:sectPr w:rsidR="00535EAE" w:rsidRPr="00252CDB" w:rsidSect="00E57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68" w:rsidRDefault="00E10668">
      <w:r>
        <w:separator/>
      </w:r>
    </w:p>
  </w:endnote>
  <w:endnote w:type="continuationSeparator" w:id="0">
    <w:p w:rsidR="00E10668" w:rsidRDefault="00E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CF" w:rsidRDefault="00AF4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83" w:rsidRDefault="00EE0B83">
    <w:pPr>
      <w:pStyle w:val="Footer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Footer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Footer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Footer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CF" w:rsidRDefault="00AF4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68" w:rsidRDefault="00E10668">
      <w:r>
        <w:separator/>
      </w:r>
    </w:p>
  </w:footnote>
  <w:footnote w:type="continuationSeparator" w:id="0">
    <w:p w:rsidR="00E10668" w:rsidRDefault="00E1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CF" w:rsidRDefault="00AF4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CF" w:rsidRDefault="00AF4BCF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1" name="תמונה 1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Header"/>
      <w:jc w:val="center"/>
    </w:pPr>
  </w:p>
  <w:p w:rsidR="00AF4BCF" w:rsidRDefault="00AF4BCF">
    <w:pPr>
      <w:pStyle w:val="Header"/>
      <w:jc w:val="center"/>
    </w:pPr>
  </w:p>
  <w:p w:rsidR="00AF4BCF" w:rsidRPr="00AF4BCF" w:rsidRDefault="00AF4BCF">
    <w:pPr>
      <w:pStyle w:val="Header"/>
      <w:jc w:val="center"/>
      <w:rPr>
        <w:sz w:val="2"/>
        <w:szCs w:val="2"/>
      </w:rPr>
    </w:pPr>
  </w:p>
  <w:p w:rsidR="00144A93" w:rsidRPr="00144A93" w:rsidRDefault="00144A93">
    <w:pPr>
      <w:pStyle w:val="Header"/>
      <w:jc w:val="center"/>
      <w:rPr>
        <w:sz w:val="4"/>
        <w:szCs w:val="4"/>
      </w:rPr>
    </w:pPr>
  </w:p>
  <w:p w:rsidR="00144A93" w:rsidRPr="00144A93" w:rsidRDefault="00144A93">
    <w:pPr>
      <w:pStyle w:val="Header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CF" w:rsidRDefault="00AF4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20E"/>
    <w:multiLevelType w:val="singleLevel"/>
    <w:tmpl w:val="5B96277C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AAD45DC"/>
    <w:multiLevelType w:val="singleLevel"/>
    <w:tmpl w:val="F73A220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sz w:val="22"/>
      </w:rPr>
    </w:lvl>
  </w:abstractNum>
  <w:abstractNum w:abstractNumId="2" w15:restartNumberingAfterBreak="0">
    <w:nsid w:val="43EE36C4"/>
    <w:multiLevelType w:val="singleLevel"/>
    <w:tmpl w:val="F01626E0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bCs w:val="0"/>
        <w:i w:val="0"/>
        <w:iCs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28"/>
    <w:rsid w:val="00034270"/>
    <w:rsid w:val="00077797"/>
    <w:rsid w:val="000A21E8"/>
    <w:rsid w:val="000E565D"/>
    <w:rsid w:val="00126AC5"/>
    <w:rsid w:val="00127348"/>
    <w:rsid w:val="00144A93"/>
    <w:rsid w:val="001D507F"/>
    <w:rsid w:val="001D5BD8"/>
    <w:rsid w:val="00252CDB"/>
    <w:rsid w:val="002D6818"/>
    <w:rsid w:val="002F3128"/>
    <w:rsid w:val="00301898"/>
    <w:rsid w:val="00304F79"/>
    <w:rsid w:val="003A0580"/>
    <w:rsid w:val="0043762A"/>
    <w:rsid w:val="00441628"/>
    <w:rsid w:val="004A7083"/>
    <w:rsid w:val="00535EAE"/>
    <w:rsid w:val="005C6CA9"/>
    <w:rsid w:val="006478E3"/>
    <w:rsid w:val="00666D66"/>
    <w:rsid w:val="006C38D3"/>
    <w:rsid w:val="00736832"/>
    <w:rsid w:val="00765BC9"/>
    <w:rsid w:val="008A0D95"/>
    <w:rsid w:val="00A90047"/>
    <w:rsid w:val="00AF4BCF"/>
    <w:rsid w:val="00B26091"/>
    <w:rsid w:val="00B4223E"/>
    <w:rsid w:val="00B57BCE"/>
    <w:rsid w:val="00B7675C"/>
    <w:rsid w:val="00B92E23"/>
    <w:rsid w:val="00D2497F"/>
    <w:rsid w:val="00E10668"/>
    <w:rsid w:val="00E574CF"/>
    <w:rsid w:val="00EE0B83"/>
    <w:rsid w:val="00F754EA"/>
    <w:rsid w:val="00F92E0E"/>
    <w:rsid w:val="00F9786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540489F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F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DefaultParagraphFont"/>
    <w:unhideWhenUsed/>
    <w:rsid w:val="0014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Etay Eshed</cp:lastModifiedBy>
  <cp:revision>3</cp:revision>
  <cp:lastPrinted>2017-03-05T14:51:00Z</cp:lastPrinted>
  <dcterms:created xsi:type="dcterms:W3CDTF">2018-07-17T11:37:00Z</dcterms:created>
  <dcterms:modified xsi:type="dcterms:W3CDTF">2018-07-19T08:31:00Z</dcterms:modified>
</cp:coreProperties>
</file>