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F0B84" w:rsidRPr="00764490" w:rsidRDefault="003F0B84" w:rsidP="003F0B84">
      <w:pPr>
        <w:spacing w:line="360" w:lineRule="auto"/>
        <w:jc w:val="both"/>
        <w:rPr>
          <w:rFonts w:cs="David"/>
          <w:sz w:val="26"/>
          <w:szCs w:val="26"/>
          <w:u w:val="single"/>
          <w:rtl/>
        </w:rPr>
      </w:pPr>
      <w:r w:rsidRPr="00764490">
        <w:rPr>
          <w:rFonts w:cs="David" w:hint="cs"/>
          <w:sz w:val="26"/>
          <w:szCs w:val="26"/>
          <w:rtl/>
        </w:rPr>
        <w:t>אוניברסיטת ת"א</w:t>
      </w:r>
      <w:r w:rsidRPr="00764490">
        <w:rPr>
          <w:rFonts w:cs="David" w:hint="cs"/>
          <w:sz w:val="26"/>
          <w:szCs w:val="26"/>
          <w:rtl/>
        </w:rPr>
        <w:tab/>
      </w:r>
      <w:r w:rsidRPr="00764490">
        <w:rPr>
          <w:rFonts w:cs="David" w:hint="cs"/>
          <w:sz w:val="26"/>
          <w:szCs w:val="26"/>
          <w:rtl/>
        </w:rPr>
        <w:tab/>
      </w:r>
      <w:r w:rsidRPr="00764490">
        <w:rPr>
          <w:rFonts w:cs="David" w:hint="cs"/>
          <w:sz w:val="26"/>
          <w:szCs w:val="26"/>
          <w:rtl/>
        </w:rPr>
        <w:tab/>
        <w:t xml:space="preserve">                                                                           סמסטר א' תש"פ</w:t>
      </w:r>
    </w:p>
    <w:p w:rsidR="003F0B84" w:rsidRPr="00764490" w:rsidRDefault="003F0B84" w:rsidP="003F0B84">
      <w:pPr>
        <w:tabs>
          <w:tab w:val="left" w:pos="5126"/>
        </w:tabs>
        <w:spacing w:line="360" w:lineRule="auto"/>
        <w:jc w:val="both"/>
        <w:rPr>
          <w:rFonts w:cs="David"/>
          <w:sz w:val="26"/>
          <w:szCs w:val="26"/>
          <w:rtl/>
        </w:rPr>
      </w:pPr>
      <w:r w:rsidRPr="00764490">
        <w:rPr>
          <w:rFonts w:cs="David" w:hint="cs"/>
          <w:sz w:val="26"/>
          <w:szCs w:val="26"/>
          <w:rtl/>
        </w:rPr>
        <w:t>הפקולטה למדעי החברה</w:t>
      </w:r>
      <w:r w:rsidRPr="00764490">
        <w:rPr>
          <w:rFonts w:cs="David" w:hint="cs"/>
          <w:b/>
          <w:bCs/>
          <w:sz w:val="26"/>
          <w:szCs w:val="26"/>
          <w:rtl/>
        </w:rPr>
        <w:t xml:space="preserve">             </w:t>
      </w:r>
      <w:r w:rsidRPr="00764490">
        <w:rPr>
          <w:rFonts w:cs="David" w:hint="cs"/>
          <w:sz w:val="26"/>
          <w:szCs w:val="26"/>
          <w:rtl/>
        </w:rPr>
        <w:t xml:space="preserve">                                                                                               1031.2105.01    </w:t>
      </w:r>
    </w:p>
    <w:p w:rsidR="003F0B84" w:rsidRPr="00764490" w:rsidRDefault="003F0B84" w:rsidP="003F0B84">
      <w:pPr>
        <w:tabs>
          <w:tab w:val="left" w:pos="5711"/>
        </w:tabs>
        <w:spacing w:line="360" w:lineRule="auto"/>
        <w:rPr>
          <w:rFonts w:cs="David"/>
          <w:b/>
          <w:bCs/>
          <w:sz w:val="26"/>
          <w:szCs w:val="26"/>
          <w:rtl/>
        </w:rPr>
      </w:pPr>
      <w:r w:rsidRPr="00764490">
        <w:rPr>
          <w:rFonts w:cs="David" w:hint="cs"/>
          <w:sz w:val="26"/>
          <w:szCs w:val="26"/>
          <w:rtl/>
        </w:rPr>
        <w:t>החוג למדע המדינה</w:t>
      </w:r>
      <w:r w:rsidRPr="00764490">
        <w:rPr>
          <w:rFonts w:cs="David" w:hint="cs"/>
          <w:sz w:val="26"/>
          <w:szCs w:val="26"/>
          <w:rtl/>
        </w:rPr>
        <w:tab/>
      </w:r>
      <w:r w:rsidRPr="00764490">
        <w:rPr>
          <w:rFonts w:cs="David" w:hint="cs"/>
          <w:sz w:val="26"/>
          <w:szCs w:val="26"/>
          <w:rtl/>
        </w:rPr>
        <w:tab/>
      </w:r>
      <w:r w:rsidRPr="00764490">
        <w:rPr>
          <w:rFonts w:cs="David" w:hint="cs"/>
          <w:sz w:val="26"/>
          <w:szCs w:val="26"/>
          <w:rtl/>
        </w:rPr>
        <w:tab/>
      </w:r>
      <w:r w:rsidRPr="00764490">
        <w:rPr>
          <w:rFonts w:cs="David" w:hint="cs"/>
          <w:b/>
          <w:bCs/>
          <w:sz w:val="26"/>
          <w:szCs w:val="26"/>
          <w:rtl/>
        </w:rPr>
        <w:t xml:space="preserve">                                             </w:t>
      </w:r>
      <w:r w:rsidRPr="00764490">
        <w:rPr>
          <w:rFonts w:cs="David"/>
          <w:b/>
          <w:bCs/>
          <w:sz w:val="26"/>
          <w:szCs w:val="26"/>
          <w:rtl/>
        </w:rPr>
        <w:tab/>
      </w:r>
    </w:p>
    <w:p w:rsidR="003F0B84" w:rsidRPr="00764490" w:rsidRDefault="003F0B84" w:rsidP="003F0B84">
      <w:pPr>
        <w:spacing w:line="360" w:lineRule="auto"/>
        <w:rPr>
          <w:rFonts w:cs="David"/>
          <w:sz w:val="26"/>
          <w:szCs w:val="26"/>
          <w:rtl/>
        </w:rPr>
      </w:pPr>
    </w:p>
    <w:p w:rsidR="003F0B84" w:rsidRPr="00764490" w:rsidRDefault="003F0B84" w:rsidP="003F0B84">
      <w:pPr>
        <w:spacing w:line="360" w:lineRule="auto"/>
        <w:jc w:val="center"/>
        <w:rPr>
          <w:rFonts w:cs="David"/>
          <w:sz w:val="26"/>
          <w:szCs w:val="26"/>
          <w:rtl/>
        </w:rPr>
      </w:pPr>
      <w:r w:rsidRPr="00764490">
        <w:rPr>
          <w:rFonts w:cs="David" w:hint="cs"/>
          <w:b/>
          <w:bCs/>
          <w:sz w:val="26"/>
          <w:szCs w:val="26"/>
          <w:rtl/>
        </w:rPr>
        <w:t>מחשבה מדינית בת זמננו</w:t>
      </w:r>
    </w:p>
    <w:p w:rsidR="003F0B84" w:rsidRPr="00764490" w:rsidRDefault="003F0B84" w:rsidP="003F0B84">
      <w:pPr>
        <w:spacing w:line="360" w:lineRule="auto"/>
        <w:jc w:val="center"/>
        <w:rPr>
          <w:rFonts w:cs="David"/>
          <w:b/>
          <w:bCs/>
          <w:sz w:val="26"/>
          <w:szCs w:val="26"/>
          <w:rtl/>
        </w:rPr>
      </w:pPr>
      <w:r w:rsidRPr="00764490">
        <w:rPr>
          <w:rFonts w:cs="David" w:hint="cs"/>
          <w:b/>
          <w:bCs/>
          <w:sz w:val="26"/>
          <w:szCs w:val="26"/>
          <w:rtl/>
        </w:rPr>
        <w:t>ד"ר גולן להט</w:t>
      </w:r>
    </w:p>
    <w:p w:rsidR="003F0B84" w:rsidRPr="00764490" w:rsidRDefault="003F0B84" w:rsidP="003F0B84">
      <w:pPr>
        <w:spacing w:line="360" w:lineRule="auto"/>
        <w:rPr>
          <w:rFonts w:ascii="David" w:hAnsi="David" w:cs="David"/>
          <w:sz w:val="26"/>
          <w:szCs w:val="26"/>
          <w:rtl/>
        </w:rPr>
      </w:pPr>
    </w:p>
    <w:p w:rsidR="003F0B84" w:rsidRPr="00764490" w:rsidRDefault="003F0B84" w:rsidP="003F0B84">
      <w:pPr>
        <w:spacing w:line="360" w:lineRule="auto"/>
        <w:ind w:left="2160" w:firstLine="720"/>
        <w:rPr>
          <w:rFonts w:ascii="David" w:hAnsi="David" w:cs="David"/>
          <w:sz w:val="26"/>
          <w:szCs w:val="26"/>
          <w:rtl/>
        </w:rPr>
      </w:pPr>
      <w:r w:rsidRPr="00764490">
        <w:rPr>
          <w:rFonts w:ascii="David" w:hAnsi="David" w:cs="David"/>
          <w:sz w:val="26"/>
          <w:szCs w:val="26"/>
          <w:rtl/>
        </w:rPr>
        <w:t>מתרגלים:</w:t>
      </w:r>
      <w:r w:rsidR="00764490" w:rsidRPr="00764490">
        <w:rPr>
          <w:rFonts w:ascii="David" w:hAnsi="David" w:cs="David"/>
          <w:sz w:val="26"/>
          <w:szCs w:val="26"/>
          <w:rtl/>
        </w:rPr>
        <w:t xml:space="preserve"> מאור בוהדנה, אורטל רחמיני</w:t>
      </w:r>
      <w:r w:rsidRPr="00764490">
        <w:rPr>
          <w:rFonts w:ascii="David" w:hAnsi="David" w:cs="David"/>
          <w:sz w:val="26"/>
          <w:szCs w:val="26"/>
          <w:rtl/>
        </w:rPr>
        <w:t>.</w:t>
      </w:r>
    </w:p>
    <w:p w:rsidR="003F0B84" w:rsidRPr="00764490" w:rsidRDefault="003F0B84" w:rsidP="003F0B84">
      <w:pPr>
        <w:spacing w:line="360" w:lineRule="auto"/>
        <w:rPr>
          <w:rFonts w:ascii="David" w:hAnsi="David" w:cs="David"/>
          <w:sz w:val="26"/>
          <w:szCs w:val="26"/>
          <w:rtl/>
        </w:rPr>
      </w:pPr>
      <w:r w:rsidRPr="00764490">
        <w:rPr>
          <w:rFonts w:ascii="David" w:hAnsi="David" w:cs="David"/>
          <w:b/>
          <w:bCs/>
          <w:sz w:val="26"/>
          <w:szCs w:val="26"/>
          <w:rtl/>
        </w:rPr>
        <w:t>שעות קבלה</w:t>
      </w:r>
    </w:p>
    <w:p w:rsidR="003F0B84" w:rsidRPr="00764490" w:rsidRDefault="003F0B84" w:rsidP="003F0B84">
      <w:pPr>
        <w:spacing w:line="360" w:lineRule="auto"/>
        <w:rPr>
          <w:rFonts w:ascii="David" w:hAnsi="David" w:cs="David"/>
          <w:sz w:val="26"/>
          <w:szCs w:val="26"/>
        </w:rPr>
      </w:pPr>
      <w:r w:rsidRPr="00764490">
        <w:rPr>
          <w:rFonts w:ascii="David" w:hAnsi="David" w:cs="David"/>
          <w:b/>
          <w:bCs/>
          <w:sz w:val="26"/>
          <w:szCs w:val="26"/>
          <w:rtl/>
        </w:rPr>
        <w:t>גולן</w:t>
      </w:r>
      <w:r w:rsidRPr="00764490">
        <w:rPr>
          <w:rFonts w:ascii="David" w:hAnsi="David" w:cs="David"/>
          <w:sz w:val="26"/>
          <w:szCs w:val="26"/>
          <w:rtl/>
        </w:rPr>
        <w:t xml:space="preserve"> - בתיאום מראש, יום א' 14-15, חדר 526                        מייל: </w:t>
      </w:r>
      <w:r w:rsidRPr="00764490">
        <w:rPr>
          <w:rFonts w:ascii="David" w:hAnsi="David" w:cs="David"/>
          <w:sz w:val="26"/>
          <w:szCs w:val="26"/>
        </w:rPr>
        <w:t>golanb@surfree.net.il</w:t>
      </w:r>
    </w:p>
    <w:p w:rsidR="003F0B84" w:rsidRPr="00764490" w:rsidRDefault="003F0B84" w:rsidP="003F0B84">
      <w:pPr>
        <w:spacing w:line="360" w:lineRule="auto"/>
        <w:rPr>
          <w:rFonts w:ascii="David" w:hAnsi="David" w:cs="David"/>
          <w:sz w:val="26"/>
          <w:szCs w:val="26"/>
          <w:rtl/>
        </w:rPr>
      </w:pPr>
      <w:r w:rsidRPr="00764490">
        <w:rPr>
          <w:rFonts w:ascii="David" w:hAnsi="David" w:cs="David"/>
          <w:b/>
          <w:bCs/>
          <w:sz w:val="26"/>
          <w:szCs w:val="26"/>
          <w:rtl/>
        </w:rPr>
        <w:t>מאור –</w:t>
      </w:r>
      <w:r w:rsidRPr="00764490">
        <w:rPr>
          <w:rFonts w:ascii="David" w:hAnsi="David" w:cs="David"/>
          <w:sz w:val="26"/>
          <w:szCs w:val="26"/>
          <w:rtl/>
        </w:rPr>
        <w:t xml:space="preserve">    יום א', 16-17 או בתיאום מראש                             מייל: </w:t>
      </w:r>
      <w:r w:rsidRPr="00764490">
        <w:rPr>
          <w:rFonts w:ascii="David" w:hAnsi="David" w:cs="David"/>
          <w:sz w:val="26"/>
          <w:szCs w:val="26"/>
        </w:rPr>
        <w:t>maorbuadana@mail.tau.ac.il</w:t>
      </w:r>
      <w:r w:rsidRPr="00764490">
        <w:rPr>
          <w:rFonts w:ascii="David" w:hAnsi="David" w:cs="David"/>
          <w:sz w:val="26"/>
          <w:szCs w:val="26"/>
          <w:rtl/>
        </w:rPr>
        <w:t xml:space="preserve">        </w:t>
      </w:r>
    </w:p>
    <w:p w:rsidR="00764490" w:rsidRPr="00764490" w:rsidRDefault="004F692D" w:rsidP="00764490">
      <w:pPr>
        <w:spacing w:line="360" w:lineRule="auto"/>
        <w:rPr>
          <w:rFonts w:ascii="David" w:hAnsi="David" w:cs="David"/>
          <w:sz w:val="26"/>
          <w:szCs w:val="26"/>
        </w:rPr>
      </w:pPr>
      <w:r w:rsidRPr="00764490">
        <w:rPr>
          <w:rFonts w:ascii="David" w:hAnsi="David" w:cs="David"/>
          <w:b/>
          <w:bCs/>
          <w:sz w:val="26"/>
          <w:szCs w:val="26"/>
          <w:rtl/>
        </w:rPr>
        <w:t>אורטל</w:t>
      </w:r>
      <w:r w:rsidRPr="00764490">
        <w:rPr>
          <w:rFonts w:ascii="David" w:hAnsi="David" w:cs="David"/>
          <w:sz w:val="26"/>
          <w:szCs w:val="26"/>
          <w:rtl/>
        </w:rPr>
        <w:t xml:space="preserve"> - </w:t>
      </w:r>
      <w:r w:rsidR="00764490" w:rsidRPr="00764490">
        <w:rPr>
          <w:rFonts w:ascii="David" w:hAnsi="David" w:cs="David"/>
          <w:sz w:val="26"/>
          <w:szCs w:val="26"/>
          <w:rtl/>
        </w:rPr>
        <w:t>יום ד', 12:00-15:00 או בתיאום מראש                     מייל:</w:t>
      </w:r>
      <w:r w:rsidR="00764490" w:rsidRPr="00764490">
        <w:rPr>
          <w:rFonts w:ascii="David" w:hAnsi="David" w:cs="David"/>
          <w:sz w:val="26"/>
          <w:szCs w:val="26"/>
        </w:rPr>
        <w:t>ortalrachamini21@gmail.com</w:t>
      </w:r>
    </w:p>
    <w:p w:rsidR="003F0B84" w:rsidRPr="00764490" w:rsidRDefault="003F0B84" w:rsidP="003F0B84">
      <w:pPr>
        <w:spacing w:line="360" w:lineRule="auto"/>
        <w:rPr>
          <w:rFonts w:ascii="David" w:hAnsi="David" w:cs="David"/>
          <w:color w:val="FF0000"/>
          <w:sz w:val="26"/>
          <w:szCs w:val="26"/>
          <w:rtl/>
        </w:rPr>
      </w:pPr>
    </w:p>
    <w:p w:rsidR="003F0B84" w:rsidRPr="00764490" w:rsidRDefault="003F0B84" w:rsidP="003F0B84">
      <w:pPr>
        <w:spacing w:line="360" w:lineRule="auto"/>
        <w:jc w:val="both"/>
        <w:rPr>
          <w:rFonts w:cs="David"/>
          <w:b/>
          <w:bCs/>
          <w:sz w:val="26"/>
          <w:szCs w:val="26"/>
          <w:rtl/>
        </w:rPr>
      </w:pPr>
      <w:r w:rsidRPr="00764490">
        <w:rPr>
          <w:rFonts w:cs="David" w:hint="cs"/>
          <w:b/>
          <w:bCs/>
          <w:sz w:val="26"/>
          <w:szCs w:val="26"/>
          <w:rtl/>
        </w:rPr>
        <w:t>תוכן הקורס ומטרותיו</w:t>
      </w:r>
    </w:p>
    <w:p w:rsidR="003F0B84" w:rsidRPr="00764490" w:rsidRDefault="003F0B84" w:rsidP="003F0B84">
      <w:pPr>
        <w:spacing w:line="360" w:lineRule="auto"/>
        <w:rPr>
          <w:rFonts w:cs="David"/>
          <w:sz w:val="26"/>
          <w:szCs w:val="26"/>
          <w:rtl/>
        </w:rPr>
      </w:pPr>
      <w:r w:rsidRPr="00764490">
        <w:rPr>
          <w:rFonts w:cs="David" w:hint="cs"/>
          <w:sz w:val="26"/>
          <w:szCs w:val="26"/>
          <w:rtl/>
        </w:rPr>
        <w:t xml:space="preserve">במהלך הסמסטר נעמוד על מאפייניה העיקריים של המחשבה המדינית בת זמננו, תוך כדי בחינת המושגים, הגישות והרעיונות אשר הוצעו על ידי הפילוסופים הפוליטיים הבולטים בעת המודרנית. מטרת שיעורי הקורס תהא, לפיכך, להעניק מסד מקיף ועשיר לדיון במחשבה הפוליטית העכשווית. במקביל, מטרת תרגילי הקורס תהא להקנות כלים ולהעניק אפשרות לקריאה וכתיבה מודרכים בטקסטים פילוסופיים מרכזיים. </w:t>
      </w:r>
      <w:r w:rsidRPr="00764490">
        <w:rPr>
          <w:rFonts w:cs="David" w:hint="cs"/>
          <w:i/>
          <w:iCs/>
          <w:sz w:val="26"/>
          <w:szCs w:val="26"/>
          <w:rtl/>
        </w:rPr>
        <w:t>ייתכנו שינויים בחומרי הקריאה לאורך הסמסטר</w:t>
      </w:r>
      <w:r w:rsidRPr="00764490">
        <w:rPr>
          <w:rFonts w:cs="David" w:hint="cs"/>
          <w:sz w:val="26"/>
          <w:szCs w:val="26"/>
          <w:rtl/>
        </w:rPr>
        <w:t>.</w:t>
      </w:r>
    </w:p>
    <w:p w:rsidR="003F0B84" w:rsidRPr="00764490" w:rsidRDefault="003F0B84" w:rsidP="003F0B84">
      <w:pPr>
        <w:spacing w:line="360" w:lineRule="auto"/>
        <w:rPr>
          <w:rFonts w:cs="David"/>
          <w:sz w:val="26"/>
          <w:szCs w:val="26"/>
          <w:rtl/>
        </w:rPr>
      </w:pPr>
    </w:p>
    <w:p w:rsidR="003F0B84" w:rsidRPr="00764490" w:rsidRDefault="003F0B84" w:rsidP="003F0B84">
      <w:pPr>
        <w:spacing w:line="360" w:lineRule="auto"/>
        <w:jc w:val="both"/>
        <w:rPr>
          <w:rFonts w:cs="David"/>
          <w:b/>
          <w:bCs/>
          <w:sz w:val="26"/>
          <w:szCs w:val="26"/>
          <w:rtl/>
        </w:rPr>
      </w:pPr>
      <w:r w:rsidRPr="00764490">
        <w:rPr>
          <w:rFonts w:cs="David" w:hint="cs"/>
          <w:b/>
          <w:bCs/>
          <w:sz w:val="26"/>
          <w:szCs w:val="26"/>
          <w:rtl/>
        </w:rPr>
        <w:t>חובות הקורס</w:t>
      </w:r>
    </w:p>
    <w:p w:rsidR="003F0B84" w:rsidRPr="00764490" w:rsidRDefault="003F0B84" w:rsidP="003F0B84">
      <w:pPr>
        <w:spacing w:line="360" w:lineRule="auto"/>
        <w:jc w:val="both"/>
        <w:rPr>
          <w:rFonts w:cs="David"/>
          <w:sz w:val="26"/>
          <w:szCs w:val="26"/>
          <w:rtl/>
        </w:rPr>
      </w:pPr>
      <w:r w:rsidRPr="00764490">
        <w:rPr>
          <w:rFonts w:cs="David" w:hint="cs"/>
          <w:sz w:val="26"/>
          <w:szCs w:val="26"/>
          <w:rtl/>
        </w:rPr>
        <w:t xml:space="preserve">א. קריאה שוטפת של חומר הלימוד הרלבנטי </w:t>
      </w:r>
      <w:r w:rsidRPr="00764490">
        <w:rPr>
          <w:rFonts w:cs="David" w:hint="cs"/>
          <w:b/>
          <w:bCs/>
          <w:sz w:val="26"/>
          <w:szCs w:val="26"/>
          <w:rtl/>
        </w:rPr>
        <w:t>טרם</w:t>
      </w:r>
      <w:r w:rsidRPr="00764490">
        <w:rPr>
          <w:rFonts w:cs="David" w:hint="cs"/>
          <w:sz w:val="26"/>
          <w:szCs w:val="26"/>
          <w:rtl/>
        </w:rPr>
        <w:t xml:space="preserve"> ההגעה לשיעור ולתרגיל. </w:t>
      </w:r>
    </w:p>
    <w:p w:rsidR="003F0B84" w:rsidRPr="00764490" w:rsidRDefault="003F0B84" w:rsidP="003F0B84">
      <w:pPr>
        <w:spacing w:line="360" w:lineRule="auto"/>
        <w:jc w:val="both"/>
        <w:rPr>
          <w:rFonts w:cs="David"/>
          <w:sz w:val="26"/>
          <w:szCs w:val="26"/>
          <w:rtl/>
        </w:rPr>
      </w:pPr>
      <w:r w:rsidRPr="00764490">
        <w:rPr>
          <w:rFonts w:cs="David" w:hint="cs"/>
          <w:sz w:val="26"/>
          <w:szCs w:val="26"/>
          <w:rtl/>
        </w:rPr>
        <w:t xml:space="preserve">ב. </w:t>
      </w:r>
      <w:r w:rsidRPr="00764490">
        <w:rPr>
          <w:rFonts w:cs="David"/>
          <w:sz w:val="26"/>
          <w:szCs w:val="26"/>
          <w:rtl/>
        </w:rPr>
        <w:t xml:space="preserve">הגשת </w:t>
      </w:r>
      <w:r w:rsidRPr="00764490">
        <w:rPr>
          <w:rFonts w:cs="David" w:hint="cs"/>
          <w:b/>
          <w:bCs/>
          <w:sz w:val="26"/>
          <w:szCs w:val="26"/>
          <w:rtl/>
        </w:rPr>
        <w:t>שני</w:t>
      </w:r>
      <w:r w:rsidRPr="00764490">
        <w:rPr>
          <w:rFonts w:cs="David"/>
          <w:sz w:val="26"/>
          <w:szCs w:val="26"/>
          <w:rtl/>
        </w:rPr>
        <w:t xml:space="preserve"> תרגילים (מתוך</w:t>
      </w:r>
      <w:r w:rsidRPr="00764490">
        <w:rPr>
          <w:rFonts w:cs="David" w:hint="cs"/>
          <w:sz w:val="26"/>
          <w:szCs w:val="26"/>
          <w:rtl/>
        </w:rPr>
        <w:t xml:space="preserve"> 13</w:t>
      </w:r>
      <w:r w:rsidRPr="00764490">
        <w:rPr>
          <w:rFonts w:cs="David"/>
          <w:sz w:val="26"/>
          <w:szCs w:val="26"/>
          <w:rtl/>
        </w:rPr>
        <w:t xml:space="preserve"> שבועות </w:t>
      </w:r>
      <w:r w:rsidRPr="00764490">
        <w:rPr>
          <w:rFonts w:cs="David" w:hint="cs"/>
          <w:sz w:val="26"/>
          <w:szCs w:val="26"/>
          <w:rtl/>
        </w:rPr>
        <w:t>ה</w:t>
      </w:r>
      <w:r w:rsidRPr="00764490">
        <w:rPr>
          <w:rFonts w:cs="David"/>
          <w:sz w:val="26"/>
          <w:szCs w:val="26"/>
          <w:rtl/>
        </w:rPr>
        <w:t>קורס) בהיקף ש</w:t>
      </w:r>
      <w:r w:rsidRPr="00764490">
        <w:rPr>
          <w:rFonts w:cs="David"/>
          <w:b/>
          <w:bCs/>
          <w:sz w:val="26"/>
          <w:szCs w:val="26"/>
          <w:rtl/>
        </w:rPr>
        <w:t>לא</w:t>
      </w:r>
      <w:r w:rsidRPr="00764490">
        <w:rPr>
          <w:rFonts w:cs="David"/>
          <w:sz w:val="26"/>
          <w:szCs w:val="26"/>
          <w:rtl/>
        </w:rPr>
        <w:t xml:space="preserve"> יעלה על </w:t>
      </w:r>
      <w:r w:rsidRPr="00764490">
        <w:rPr>
          <w:rFonts w:cs="David"/>
          <w:b/>
          <w:bCs/>
          <w:sz w:val="26"/>
          <w:szCs w:val="26"/>
          <w:rtl/>
        </w:rPr>
        <w:t>500</w:t>
      </w:r>
      <w:r w:rsidRPr="00764490">
        <w:rPr>
          <w:rFonts w:cs="David"/>
          <w:sz w:val="26"/>
          <w:szCs w:val="26"/>
          <w:rtl/>
        </w:rPr>
        <w:t xml:space="preserve"> מילים</w:t>
      </w:r>
      <w:r w:rsidRPr="00764490">
        <w:rPr>
          <w:rFonts w:cs="David" w:hint="cs"/>
          <w:sz w:val="26"/>
          <w:szCs w:val="26"/>
          <w:rtl/>
        </w:rPr>
        <w:t>;</w:t>
      </w:r>
    </w:p>
    <w:p w:rsidR="003F0B84" w:rsidRPr="00DA7F63" w:rsidRDefault="003F0B84" w:rsidP="003F0B84">
      <w:pPr>
        <w:spacing w:line="360" w:lineRule="auto"/>
        <w:jc w:val="both"/>
        <w:rPr>
          <w:rFonts w:cs="David"/>
          <w:sz w:val="26"/>
          <w:szCs w:val="26"/>
          <w:rtl/>
        </w:rPr>
      </w:pPr>
      <w:r w:rsidRPr="00764490">
        <w:rPr>
          <w:rFonts w:cs="David"/>
          <w:sz w:val="26"/>
          <w:szCs w:val="26"/>
          <w:rtl/>
        </w:rPr>
        <w:t>עבודות שתחרוגנה מכך לא תקראנה</w:t>
      </w:r>
      <w:r w:rsidRPr="00764490">
        <w:rPr>
          <w:rFonts w:cs="David" w:hint="cs"/>
          <w:sz w:val="26"/>
          <w:szCs w:val="26"/>
          <w:rtl/>
        </w:rPr>
        <w:t>.</w:t>
      </w:r>
      <w:r w:rsidRPr="00764490">
        <w:rPr>
          <w:rFonts w:cs="David"/>
          <w:sz w:val="26"/>
          <w:szCs w:val="26"/>
          <w:rtl/>
        </w:rPr>
        <w:t xml:space="preserve"> ניתן להגיש בעברית ובאנגלית. מועד ההגשה הינו קבוע: ימי </w:t>
      </w:r>
      <w:r w:rsidRPr="00764490">
        <w:rPr>
          <w:rFonts w:cs="David" w:hint="cs"/>
          <w:b/>
          <w:bCs/>
          <w:sz w:val="26"/>
          <w:szCs w:val="26"/>
          <w:rtl/>
        </w:rPr>
        <w:t>ראשון בטרם</w:t>
      </w:r>
      <w:r w:rsidRPr="00764490">
        <w:rPr>
          <w:rFonts w:cs="David"/>
          <w:b/>
          <w:bCs/>
          <w:sz w:val="26"/>
          <w:szCs w:val="26"/>
          <w:rtl/>
        </w:rPr>
        <w:t xml:space="preserve"> </w:t>
      </w:r>
      <w:r w:rsidRPr="00764490">
        <w:rPr>
          <w:rFonts w:cs="David" w:hint="cs"/>
          <w:b/>
          <w:bCs/>
          <w:sz w:val="26"/>
          <w:szCs w:val="26"/>
          <w:rtl/>
        </w:rPr>
        <w:t>התרגיל הרלבנטי</w:t>
      </w:r>
      <w:r w:rsidRPr="00764490">
        <w:rPr>
          <w:rFonts w:cs="David"/>
          <w:sz w:val="26"/>
          <w:szCs w:val="26"/>
          <w:rtl/>
        </w:rPr>
        <w:t>. נסיבות מיוחדות</w:t>
      </w:r>
      <w:r w:rsidRPr="00764490">
        <w:rPr>
          <w:rFonts w:cs="David" w:hint="cs"/>
          <w:sz w:val="26"/>
          <w:szCs w:val="26"/>
          <w:rtl/>
        </w:rPr>
        <w:t xml:space="preserve"> לאי-הגשה במועד</w:t>
      </w:r>
      <w:r w:rsidRPr="00764490">
        <w:rPr>
          <w:rFonts w:cs="David"/>
          <w:sz w:val="26"/>
          <w:szCs w:val="26"/>
          <w:rtl/>
        </w:rPr>
        <w:t xml:space="preserve"> לא יתקבלו בשל הכר הנרחב אשר ניתן </w:t>
      </w:r>
      <w:r w:rsidRPr="00DA7F63">
        <w:rPr>
          <w:rFonts w:cs="David"/>
          <w:sz w:val="26"/>
          <w:szCs w:val="26"/>
          <w:rtl/>
        </w:rPr>
        <w:t>לבחירת תרגילי ההגשה</w:t>
      </w:r>
      <w:r w:rsidRPr="00DA7F63">
        <w:rPr>
          <w:rFonts w:cs="David" w:hint="cs"/>
          <w:sz w:val="26"/>
          <w:szCs w:val="26"/>
          <w:rtl/>
        </w:rPr>
        <w:t>, אלא אם כן נדון הדבר וסוכם עם המתרגלים מראש.</w:t>
      </w:r>
      <w:r w:rsidRPr="00DA7F63">
        <w:rPr>
          <w:rFonts w:cs="David"/>
          <w:sz w:val="26"/>
          <w:szCs w:val="26"/>
          <w:rtl/>
        </w:rPr>
        <w:t xml:space="preserve"> </w:t>
      </w:r>
      <w:r w:rsidRPr="00DA7F63">
        <w:rPr>
          <w:rFonts w:cs="David" w:hint="cs"/>
          <w:sz w:val="26"/>
          <w:szCs w:val="26"/>
          <w:rtl/>
        </w:rPr>
        <w:t xml:space="preserve">הציון המשוקלל של כל </w:t>
      </w:r>
      <w:r w:rsidRPr="00DA7F63">
        <w:rPr>
          <w:rFonts w:cs="David"/>
          <w:sz w:val="26"/>
          <w:szCs w:val="26"/>
          <w:rtl/>
        </w:rPr>
        <w:t xml:space="preserve">התרגילים </w:t>
      </w:r>
      <w:r w:rsidRPr="00DA7F63">
        <w:rPr>
          <w:rFonts w:cs="David" w:hint="cs"/>
          <w:sz w:val="26"/>
          <w:szCs w:val="26"/>
          <w:rtl/>
        </w:rPr>
        <w:t>יהווה</w:t>
      </w:r>
      <w:r w:rsidRPr="00DA7F63">
        <w:rPr>
          <w:rFonts w:cs="David"/>
          <w:sz w:val="26"/>
          <w:szCs w:val="26"/>
          <w:rtl/>
        </w:rPr>
        <w:t xml:space="preserve"> </w:t>
      </w:r>
      <w:r w:rsidRPr="00DA7F63">
        <w:rPr>
          <w:rFonts w:cs="David" w:hint="cs"/>
          <w:b/>
          <w:bCs/>
          <w:sz w:val="26"/>
          <w:szCs w:val="26"/>
          <w:rtl/>
        </w:rPr>
        <w:t>30</w:t>
      </w:r>
      <w:r w:rsidRPr="00DA7F63">
        <w:rPr>
          <w:rFonts w:cs="David"/>
          <w:b/>
          <w:bCs/>
          <w:sz w:val="26"/>
          <w:szCs w:val="26"/>
          <w:rtl/>
        </w:rPr>
        <w:t>%</w:t>
      </w:r>
      <w:r w:rsidRPr="00DA7F63">
        <w:rPr>
          <w:rFonts w:cs="David"/>
          <w:sz w:val="26"/>
          <w:szCs w:val="26"/>
          <w:rtl/>
        </w:rPr>
        <w:t xml:space="preserve"> מציון הקורס. </w:t>
      </w:r>
      <w:r w:rsidRPr="00DA7F63">
        <w:rPr>
          <w:rFonts w:cs="David" w:hint="cs"/>
          <w:sz w:val="26"/>
          <w:szCs w:val="26"/>
          <w:rtl/>
        </w:rPr>
        <w:t xml:space="preserve">ניתן להגיש תרגיל שלישי נוסף, </w:t>
      </w:r>
      <w:proofErr w:type="spellStart"/>
      <w:r w:rsidRPr="00DA7F63">
        <w:rPr>
          <w:rFonts w:cs="David" w:hint="cs"/>
          <w:sz w:val="26"/>
          <w:szCs w:val="26"/>
          <w:rtl/>
        </w:rPr>
        <w:t>שציונו</w:t>
      </w:r>
      <w:proofErr w:type="spellEnd"/>
      <w:r w:rsidRPr="00DA7F63">
        <w:rPr>
          <w:rFonts w:cs="David" w:hint="cs"/>
          <w:sz w:val="26"/>
          <w:szCs w:val="26"/>
          <w:rtl/>
        </w:rPr>
        <w:t xml:space="preserve"> יחליף את הציון הנמוך מבין השניים שקדמו לו.</w:t>
      </w:r>
      <w:r w:rsidRPr="00DA7F63">
        <w:rPr>
          <w:rFonts w:cs="David"/>
          <w:sz w:val="26"/>
          <w:szCs w:val="26"/>
          <w:rtl/>
        </w:rPr>
        <w:t xml:space="preserve"> לא ניתן לערער על תוצאות התרגילים</w:t>
      </w:r>
      <w:r w:rsidRPr="00DA7F63">
        <w:rPr>
          <w:rFonts w:cs="David" w:hint="cs"/>
          <w:sz w:val="26"/>
          <w:szCs w:val="26"/>
          <w:rtl/>
        </w:rPr>
        <w:t xml:space="preserve">, אך ניתן, כמובן, לקבל הסברים על הציון. </w:t>
      </w:r>
      <w:r w:rsidRPr="00DA7F63">
        <w:rPr>
          <w:rFonts w:cs="David"/>
          <w:b/>
          <w:bCs/>
          <w:sz w:val="26"/>
          <w:szCs w:val="26"/>
          <w:rtl/>
        </w:rPr>
        <w:t xml:space="preserve">מעת לעת עשויים להתקיים בחנים </w:t>
      </w:r>
      <w:r w:rsidRPr="00DA7F63">
        <w:rPr>
          <w:rFonts w:cs="David" w:hint="cs"/>
          <w:b/>
          <w:bCs/>
          <w:sz w:val="26"/>
          <w:szCs w:val="26"/>
          <w:rtl/>
        </w:rPr>
        <w:t xml:space="preserve">בכיתות התרגול </w:t>
      </w:r>
      <w:r w:rsidRPr="00DA7F63">
        <w:rPr>
          <w:rFonts w:cs="David"/>
          <w:b/>
          <w:bCs/>
          <w:sz w:val="26"/>
          <w:szCs w:val="26"/>
          <w:rtl/>
        </w:rPr>
        <w:t>לבדיקת קריאת החומר על ידי התלמידים</w:t>
      </w:r>
      <w:r w:rsidRPr="00DA7F63">
        <w:rPr>
          <w:rFonts w:cs="David" w:hint="cs"/>
          <w:sz w:val="26"/>
          <w:szCs w:val="26"/>
          <w:rtl/>
        </w:rPr>
        <w:t xml:space="preserve">. </w:t>
      </w:r>
    </w:p>
    <w:p w:rsidR="003F0B84" w:rsidRPr="00DA7F63" w:rsidRDefault="003F0B84" w:rsidP="003F0B84">
      <w:pPr>
        <w:spacing w:line="360" w:lineRule="auto"/>
        <w:jc w:val="both"/>
        <w:rPr>
          <w:rFonts w:cs="David"/>
          <w:sz w:val="26"/>
          <w:szCs w:val="26"/>
          <w:rtl/>
        </w:rPr>
      </w:pPr>
      <w:r w:rsidRPr="00DA7F63">
        <w:rPr>
          <w:rFonts w:cs="David" w:hint="cs"/>
          <w:sz w:val="26"/>
          <w:szCs w:val="26"/>
          <w:rtl/>
        </w:rPr>
        <w:t>ג. יינת</w:t>
      </w:r>
      <w:r w:rsidRPr="00DA7F63">
        <w:rPr>
          <w:rFonts w:cs="David" w:hint="eastAsia"/>
          <w:sz w:val="26"/>
          <w:szCs w:val="26"/>
          <w:rtl/>
        </w:rPr>
        <w:t>ן</w:t>
      </w:r>
      <w:r w:rsidRPr="00DA7F63">
        <w:rPr>
          <w:rFonts w:cs="David" w:hint="cs"/>
          <w:sz w:val="26"/>
          <w:szCs w:val="26"/>
          <w:rtl/>
        </w:rPr>
        <w:t xml:space="preserve"> </w:t>
      </w:r>
      <w:r w:rsidRPr="00DA7F63">
        <w:rPr>
          <w:rFonts w:cs="David" w:hint="cs"/>
          <w:b/>
          <w:bCs/>
          <w:sz w:val="26"/>
          <w:szCs w:val="26"/>
          <w:rtl/>
        </w:rPr>
        <w:t>ציון בונוס של עד 3 נקודות</w:t>
      </w:r>
      <w:r w:rsidRPr="00DA7F63">
        <w:rPr>
          <w:rFonts w:cs="David" w:hint="cs"/>
          <w:sz w:val="26"/>
          <w:szCs w:val="26"/>
          <w:rtl/>
        </w:rPr>
        <w:t xml:space="preserve"> על השתתפות עניינית ומושכלת בתרגילים. </w:t>
      </w:r>
      <w:r w:rsidRPr="00DA7F63">
        <w:rPr>
          <w:rFonts w:cs="David" w:hint="cs"/>
          <w:b/>
          <w:bCs/>
          <w:sz w:val="26"/>
          <w:szCs w:val="26"/>
          <w:rtl/>
        </w:rPr>
        <w:t>תורד נקודה</w:t>
      </w:r>
      <w:r w:rsidRPr="00DA7F63">
        <w:rPr>
          <w:rFonts w:cs="David" w:hint="cs"/>
          <w:sz w:val="26"/>
          <w:szCs w:val="26"/>
          <w:rtl/>
        </w:rPr>
        <w:t xml:space="preserve"> על כל היעדרות מהתרגיל (החל מההיעדרות השלישית). </w:t>
      </w:r>
    </w:p>
    <w:p w:rsidR="00DA1A43" w:rsidRPr="00DA7F63" w:rsidRDefault="003F0B84" w:rsidP="00764490">
      <w:pPr>
        <w:spacing w:line="360" w:lineRule="auto"/>
        <w:jc w:val="both"/>
        <w:rPr>
          <w:rFonts w:cs="David"/>
          <w:sz w:val="26"/>
          <w:szCs w:val="26"/>
          <w:rtl/>
        </w:rPr>
      </w:pPr>
      <w:r w:rsidRPr="00DA7F63">
        <w:rPr>
          <w:rFonts w:cs="David" w:hint="cs"/>
          <w:sz w:val="26"/>
          <w:szCs w:val="26"/>
          <w:rtl/>
        </w:rPr>
        <w:t xml:space="preserve">ד. </w:t>
      </w:r>
      <w:r w:rsidRPr="00DA7F63">
        <w:rPr>
          <w:rFonts w:cs="David"/>
          <w:sz w:val="26"/>
          <w:szCs w:val="26"/>
          <w:rtl/>
        </w:rPr>
        <w:t xml:space="preserve">בחינת </w:t>
      </w:r>
      <w:r w:rsidRPr="00DA7F63">
        <w:rPr>
          <w:rFonts w:cs="David" w:hint="cs"/>
          <w:sz w:val="26"/>
          <w:szCs w:val="26"/>
          <w:rtl/>
        </w:rPr>
        <w:t>כיתה</w:t>
      </w:r>
      <w:r w:rsidRPr="00DA7F63">
        <w:rPr>
          <w:rFonts w:cs="David"/>
          <w:sz w:val="26"/>
          <w:szCs w:val="26"/>
          <w:rtl/>
        </w:rPr>
        <w:t xml:space="preserve"> בסיום הקורס </w:t>
      </w:r>
      <w:r w:rsidRPr="00DA7F63">
        <w:rPr>
          <w:rFonts w:cs="David" w:hint="cs"/>
          <w:sz w:val="26"/>
          <w:szCs w:val="26"/>
          <w:rtl/>
        </w:rPr>
        <w:t xml:space="preserve">- </w:t>
      </w:r>
      <w:r w:rsidRPr="00DA7F63">
        <w:rPr>
          <w:rFonts w:cs="David" w:hint="cs"/>
          <w:b/>
          <w:bCs/>
          <w:sz w:val="26"/>
          <w:szCs w:val="26"/>
          <w:rtl/>
        </w:rPr>
        <w:t>70</w:t>
      </w:r>
      <w:r w:rsidRPr="00DA7F63">
        <w:rPr>
          <w:rFonts w:cs="David"/>
          <w:b/>
          <w:bCs/>
          <w:sz w:val="26"/>
          <w:szCs w:val="26"/>
          <w:rtl/>
        </w:rPr>
        <w:t>%</w:t>
      </w:r>
      <w:r w:rsidRPr="00DA7F63">
        <w:rPr>
          <w:rFonts w:cs="David"/>
          <w:sz w:val="26"/>
          <w:szCs w:val="26"/>
          <w:rtl/>
        </w:rPr>
        <w:t xml:space="preserve"> מהציון.</w:t>
      </w:r>
      <w:r w:rsidRPr="00DA7F63">
        <w:rPr>
          <w:rFonts w:cs="David" w:hint="cs"/>
          <w:sz w:val="26"/>
          <w:szCs w:val="26"/>
          <w:rtl/>
        </w:rPr>
        <w:t xml:space="preserve"> הגשת הבחינה תותנה בקבלת ציון </w:t>
      </w:r>
      <w:r w:rsidRPr="00DA7F63">
        <w:rPr>
          <w:rFonts w:cs="David" w:hint="cs"/>
          <w:b/>
          <w:bCs/>
          <w:sz w:val="26"/>
          <w:szCs w:val="26"/>
          <w:rtl/>
        </w:rPr>
        <w:t>עובר</w:t>
      </w:r>
      <w:r w:rsidRPr="00DA7F63">
        <w:rPr>
          <w:rFonts w:cs="David" w:hint="cs"/>
          <w:sz w:val="26"/>
          <w:szCs w:val="26"/>
          <w:rtl/>
        </w:rPr>
        <w:t xml:space="preserve"> ב</w:t>
      </w:r>
      <w:r w:rsidRPr="00DA7F63">
        <w:rPr>
          <w:rFonts w:cs="David" w:hint="cs"/>
          <w:b/>
          <w:bCs/>
          <w:sz w:val="26"/>
          <w:szCs w:val="26"/>
          <w:rtl/>
        </w:rPr>
        <w:t>כל</w:t>
      </w:r>
      <w:r w:rsidRPr="00DA7F63">
        <w:rPr>
          <w:rFonts w:cs="David" w:hint="cs"/>
          <w:sz w:val="26"/>
          <w:szCs w:val="26"/>
          <w:rtl/>
        </w:rPr>
        <w:t xml:space="preserve"> אחד מהתרגילים האישיים. חומר הקריאה לבחינה יכלול אך ורק טקסטים ללא כוכבית, שכן </w:t>
      </w:r>
      <w:r w:rsidRPr="00DA7F63">
        <w:rPr>
          <w:rFonts w:cs="David" w:hint="cs"/>
          <w:b/>
          <w:bCs/>
          <w:sz w:val="26"/>
          <w:szCs w:val="26"/>
          <w:rtl/>
        </w:rPr>
        <w:t>כל המסומנים בכוכבית הינם פריטי רשות לשם הרחבה גרידא</w:t>
      </w:r>
      <w:r w:rsidR="00764490" w:rsidRPr="00DA7F63">
        <w:rPr>
          <w:rFonts w:cs="David" w:hint="cs"/>
          <w:sz w:val="26"/>
          <w:szCs w:val="26"/>
          <w:rtl/>
        </w:rPr>
        <w:t>.</w:t>
      </w:r>
    </w:p>
    <w:p w:rsidR="00DA1A43" w:rsidRPr="00DA7F63" w:rsidRDefault="00DA1A43" w:rsidP="003F0B84">
      <w:pPr>
        <w:spacing w:line="360" w:lineRule="auto"/>
        <w:jc w:val="both"/>
        <w:rPr>
          <w:rFonts w:cs="David"/>
          <w:sz w:val="26"/>
          <w:szCs w:val="26"/>
          <w:rtl/>
        </w:rPr>
      </w:pPr>
    </w:p>
    <w:p w:rsidR="00764490" w:rsidRDefault="00764490" w:rsidP="007E1CDD">
      <w:pPr>
        <w:spacing w:line="360" w:lineRule="auto"/>
        <w:jc w:val="center"/>
        <w:rPr>
          <w:rFonts w:cs="David"/>
          <w:b/>
          <w:bCs/>
          <w:sz w:val="28"/>
          <w:szCs w:val="28"/>
          <w:rtl/>
        </w:rPr>
      </w:pPr>
    </w:p>
    <w:p w:rsidR="00764490" w:rsidRDefault="00764490" w:rsidP="007E1CDD">
      <w:pPr>
        <w:spacing w:line="360" w:lineRule="auto"/>
        <w:jc w:val="center"/>
        <w:rPr>
          <w:rFonts w:cs="David"/>
          <w:b/>
          <w:bCs/>
          <w:sz w:val="28"/>
          <w:szCs w:val="28"/>
          <w:rtl/>
        </w:rPr>
      </w:pPr>
    </w:p>
    <w:p w:rsidR="00764490" w:rsidRDefault="00764490" w:rsidP="007E1CDD">
      <w:pPr>
        <w:spacing w:line="360" w:lineRule="auto"/>
        <w:jc w:val="center"/>
        <w:rPr>
          <w:rFonts w:cs="David"/>
          <w:b/>
          <w:bCs/>
          <w:sz w:val="28"/>
          <w:szCs w:val="28"/>
          <w:rtl/>
        </w:rPr>
      </w:pPr>
    </w:p>
    <w:p w:rsidR="003F0B84" w:rsidRPr="00211AAD" w:rsidRDefault="003F0B84" w:rsidP="007E1CDD">
      <w:pPr>
        <w:spacing w:line="360" w:lineRule="auto"/>
        <w:jc w:val="center"/>
        <w:rPr>
          <w:rFonts w:cs="David"/>
          <w:b/>
          <w:bCs/>
          <w:sz w:val="28"/>
          <w:szCs w:val="28"/>
          <w:rtl/>
        </w:rPr>
      </w:pPr>
      <w:r>
        <w:rPr>
          <w:rFonts w:cs="David"/>
          <w:b/>
          <w:bCs/>
          <w:sz w:val="28"/>
          <w:szCs w:val="28"/>
          <w:rtl/>
        </w:rPr>
        <w:lastRenderedPageBreak/>
        <w:t>ת</w:t>
      </w:r>
      <w:r w:rsidRPr="00211AAD">
        <w:rPr>
          <w:rFonts w:cs="David"/>
          <w:b/>
          <w:bCs/>
          <w:sz w:val="28"/>
          <w:szCs w:val="28"/>
          <w:rtl/>
        </w:rPr>
        <w:t>כנית הקורס</w:t>
      </w:r>
    </w:p>
    <w:p w:rsidR="003F0B84" w:rsidRDefault="003F0B84" w:rsidP="003F0B84">
      <w:pPr>
        <w:spacing w:line="360" w:lineRule="auto"/>
        <w:rPr>
          <w:rFonts w:cs="David"/>
          <w:b/>
          <w:bCs/>
          <w:rtl/>
        </w:rPr>
      </w:pPr>
    </w:p>
    <w:p w:rsidR="003F0B84" w:rsidRPr="008F18DC" w:rsidRDefault="004F692D" w:rsidP="006753D6">
      <w:pPr>
        <w:spacing w:line="360" w:lineRule="auto"/>
        <w:rPr>
          <w:rFonts w:cs="David"/>
          <w:sz w:val="26"/>
          <w:szCs w:val="26"/>
          <w:rtl/>
        </w:rPr>
      </w:pPr>
      <w:r>
        <w:rPr>
          <w:rFonts w:cs="David" w:hint="cs"/>
          <w:b/>
          <w:bCs/>
          <w:sz w:val="26"/>
          <w:szCs w:val="26"/>
        </w:rPr>
        <w:t>I</w:t>
      </w:r>
      <w:r w:rsidR="003F0B84">
        <w:rPr>
          <w:rFonts w:cs="David" w:hint="cs"/>
          <w:b/>
          <w:bCs/>
          <w:sz w:val="26"/>
          <w:szCs w:val="26"/>
          <w:rtl/>
        </w:rPr>
        <w:t xml:space="preserve">. </w:t>
      </w:r>
      <w:r w:rsidR="00B43D5D">
        <w:rPr>
          <w:rFonts w:cs="David" w:hint="cs"/>
          <w:b/>
          <w:bCs/>
          <w:sz w:val="26"/>
          <w:szCs w:val="26"/>
          <w:rtl/>
        </w:rPr>
        <w:t>טוב</w:t>
      </w:r>
      <w:r w:rsidR="003F0B84">
        <w:rPr>
          <w:rFonts w:cs="David" w:hint="cs"/>
          <w:b/>
          <w:bCs/>
          <w:sz w:val="26"/>
          <w:szCs w:val="26"/>
          <w:rtl/>
        </w:rPr>
        <w:t>: טלאולוגיה</w:t>
      </w:r>
      <w:r w:rsidR="00DA1A43">
        <w:rPr>
          <w:rFonts w:cs="David" w:hint="cs"/>
          <w:b/>
          <w:bCs/>
          <w:sz w:val="26"/>
          <w:szCs w:val="26"/>
          <w:rtl/>
        </w:rPr>
        <w:t xml:space="preserve"> מול </w:t>
      </w:r>
      <w:proofErr w:type="spellStart"/>
      <w:r w:rsidR="00DA1A43">
        <w:rPr>
          <w:rFonts w:cs="David" w:hint="cs"/>
          <w:b/>
          <w:bCs/>
          <w:sz w:val="26"/>
          <w:szCs w:val="26"/>
          <w:rtl/>
        </w:rPr>
        <w:t>דאונטולוגיה</w:t>
      </w:r>
      <w:proofErr w:type="spellEnd"/>
      <w:r w:rsidR="00DA1A43">
        <w:rPr>
          <w:rFonts w:cs="David" w:hint="cs"/>
          <w:b/>
          <w:bCs/>
          <w:sz w:val="26"/>
          <w:szCs w:val="26"/>
          <w:rtl/>
        </w:rPr>
        <w:t xml:space="preserve"> </w:t>
      </w:r>
      <w:r w:rsidR="003F0B84">
        <w:rPr>
          <w:rFonts w:cs="David" w:hint="cs"/>
          <w:b/>
          <w:bCs/>
          <w:sz w:val="26"/>
          <w:szCs w:val="26"/>
          <w:rtl/>
        </w:rPr>
        <w:t xml:space="preserve"> - הרצאות</w:t>
      </w:r>
      <w:r w:rsidR="003F0B84" w:rsidRPr="008F18DC">
        <w:rPr>
          <w:rFonts w:cs="David" w:hint="cs"/>
          <w:b/>
          <w:bCs/>
          <w:sz w:val="26"/>
          <w:szCs w:val="26"/>
          <w:rtl/>
        </w:rPr>
        <w:t xml:space="preserve"> מס' 1</w:t>
      </w:r>
      <w:r w:rsidR="003F0B84">
        <w:rPr>
          <w:rFonts w:cs="David" w:hint="cs"/>
          <w:b/>
          <w:bCs/>
          <w:sz w:val="26"/>
          <w:szCs w:val="26"/>
          <w:rtl/>
        </w:rPr>
        <w:t>-3</w:t>
      </w:r>
      <w:r w:rsidR="003F0B84" w:rsidRPr="008F18DC">
        <w:rPr>
          <w:rFonts w:cs="David" w:hint="cs"/>
          <w:b/>
          <w:bCs/>
          <w:sz w:val="26"/>
          <w:szCs w:val="26"/>
          <w:rtl/>
        </w:rPr>
        <w:t xml:space="preserve"> (</w:t>
      </w:r>
      <w:r w:rsidR="001A2664">
        <w:rPr>
          <w:rFonts w:cs="David" w:hint="cs"/>
          <w:b/>
          <w:bCs/>
          <w:sz w:val="26"/>
          <w:szCs w:val="26"/>
          <w:rtl/>
        </w:rPr>
        <w:t>1</w:t>
      </w:r>
      <w:r w:rsidR="006753D6">
        <w:rPr>
          <w:rFonts w:cs="David" w:hint="cs"/>
          <w:b/>
          <w:bCs/>
          <w:sz w:val="26"/>
          <w:szCs w:val="26"/>
          <w:rtl/>
        </w:rPr>
        <w:t>0</w:t>
      </w:r>
      <w:r w:rsidR="001A2664">
        <w:rPr>
          <w:rFonts w:cs="David" w:hint="cs"/>
          <w:b/>
          <w:bCs/>
          <w:sz w:val="26"/>
          <w:szCs w:val="26"/>
          <w:rtl/>
        </w:rPr>
        <w:t>.11</w:t>
      </w:r>
      <w:r w:rsidR="003F0B84">
        <w:rPr>
          <w:rFonts w:cs="David" w:hint="cs"/>
          <w:b/>
          <w:bCs/>
          <w:sz w:val="26"/>
          <w:szCs w:val="26"/>
          <w:rtl/>
        </w:rPr>
        <w:t xml:space="preserve">, </w:t>
      </w:r>
      <w:r w:rsidR="001A2664">
        <w:rPr>
          <w:rFonts w:cs="David" w:hint="cs"/>
          <w:b/>
          <w:bCs/>
          <w:sz w:val="26"/>
          <w:szCs w:val="26"/>
          <w:rtl/>
        </w:rPr>
        <w:t>3.11</w:t>
      </w:r>
      <w:r w:rsidR="003F0B84">
        <w:rPr>
          <w:rFonts w:cs="David" w:hint="cs"/>
          <w:b/>
          <w:bCs/>
          <w:sz w:val="26"/>
          <w:szCs w:val="26"/>
          <w:rtl/>
        </w:rPr>
        <w:t>, 2</w:t>
      </w:r>
      <w:r w:rsidR="00C95C29">
        <w:rPr>
          <w:rFonts w:cs="David" w:hint="cs"/>
          <w:b/>
          <w:bCs/>
          <w:sz w:val="26"/>
          <w:szCs w:val="26"/>
          <w:rtl/>
        </w:rPr>
        <w:t>7</w:t>
      </w:r>
      <w:r w:rsidR="003F0B84">
        <w:rPr>
          <w:rFonts w:cs="David" w:hint="cs"/>
          <w:b/>
          <w:bCs/>
          <w:sz w:val="26"/>
          <w:szCs w:val="26"/>
          <w:rtl/>
        </w:rPr>
        <w:t>.10</w:t>
      </w:r>
      <w:r w:rsidR="003F0B84" w:rsidRPr="008F18DC">
        <w:rPr>
          <w:rFonts w:cs="David" w:hint="cs"/>
          <w:b/>
          <w:bCs/>
          <w:sz w:val="26"/>
          <w:szCs w:val="26"/>
          <w:rtl/>
        </w:rPr>
        <w:t xml:space="preserve">) </w:t>
      </w:r>
    </w:p>
    <w:p w:rsidR="003F0B84" w:rsidRDefault="003F0B84" w:rsidP="003F0B84">
      <w:pPr>
        <w:spacing w:line="360" w:lineRule="auto"/>
        <w:rPr>
          <w:rFonts w:cs="David"/>
          <w:sz w:val="26"/>
          <w:szCs w:val="26"/>
          <w:rtl/>
        </w:rPr>
      </w:pPr>
      <w:r w:rsidRPr="00526B14">
        <w:rPr>
          <w:rFonts w:cs="David"/>
          <w:sz w:val="26"/>
          <w:szCs w:val="26"/>
          <w:rtl/>
        </w:rPr>
        <w:t xml:space="preserve">מיל, ג'.ס. (2006) [1849],  </w:t>
      </w:r>
      <w:r w:rsidRPr="000B4882">
        <w:rPr>
          <w:rFonts w:cs="David"/>
          <w:i/>
          <w:iCs/>
          <w:sz w:val="26"/>
          <w:szCs w:val="26"/>
          <w:rtl/>
        </w:rPr>
        <w:t>על החירות</w:t>
      </w:r>
      <w:r w:rsidRPr="00526B14">
        <w:rPr>
          <w:rFonts w:cs="David"/>
          <w:sz w:val="26"/>
          <w:szCs w:val="26"/>
          <w:rtl/>
        </w:rPr>
        <w:t xml:space="preserve">, הוצאת שלם: ירושלים, </w:t>
      </w:r>
      <w:r>
        <w:rPr>
          <w:rFonts w:cs="David" w:hint="cs"/>
          <w:sz w:val="26"/>
          <w:szCs w:val="26"/>
          <w:rtl/>
        </w:rPr>
        <w:t xml:space="preserve">פרקים א'- ב', </w:t>
      </w:r>
      <w:r w:rsidRPr="00526B14">
        <w:rPr>
          <w:rFonts w:cs="David"/>
          <w:sz w:val="26"/>
          <w:szCs w:val="26"/>
          <w:rtl/>
        </w:rPr>
        <w:t>עמ' 3-</w:t>
      </w:r>
      <w:r>
        <w:rPr>
          <w:rFonts w:cs="David" w:hint="cs"/>
          <w:sz w:val="26"/>
          <w:szCs w:val="26"/>
          <w:rtl/>
        </w:rPr>
        <w:t>65.</w:t>
      </w:r>
    </w:p>
    <w:p w:rsidR="00DA1A43" w:rsidRDefault="00DA1A43" w:rsidP="00DA1A43">
      <w:pPr>
        <w:spacing w:line="360" w:lineRule="auto"/>
        <w:rPr>
          <w:rFonts w:cs="David"/>
          <w:sz w:val="26"/>
          <w:szCs w:val="26"/>
          <w:rtl/>
        </w:rPr>
      </w:pPr>
      <w:r w:rsidRPr="008F18DC">
        <w:rPr>
          <w:rFonts w:cs="David" w:hint="cs"/>
          <w:sz w:val="26"/>
          <w:szCs w:val="26"/>
          <w:rtl/>
        </w:rPr>
        <w:t>קאנט</w:t>
      </w:r>
      <w:r>
        <w:rPr>
          <w:rFonts w:cs="David" w:hint="cs"/>
          <w:sz w:val="26"/>
          <w:szCs w:val="26"/>
          <w:rtl/>
        </w:rPr>
        <w:t>, ע.</w:t>
      </w:r>
      <w:r w:rsidRPr="008F18DC">
        <w:rPr>
          <w:rFonts w:cs="David" w:hint="cs"/>
          <w:sz w:val="26"/>
          <w:szCs w:val="26"/>
          <w:rtl/>
        </w:rPr>
        <w:t xml:space="preserve"> (2009) [1784], "</w:t>
      </w:r>
      <w:r>
        <w:rPr>
          <w:rFonts w:cs="David" w:hint="cs"/>
          <w:sz w:val="26"/>
          <w:szCs w:val="26"/>
          <w:rtl/>
        </w:rPr>
        <w:t>תשובה לשאלה: מהי נאורות?", ת"א: רסלינג</w:t>
      </w:r>
      <w:r w:rsidRPr="008F18DC">
        <w:rPr>
          <w:rFonts w:cs="David" w:hint="cs"/>
          <w:sz w:val="26"/>
          <w:szCs w:val="26"/>
          <w:rtl/>
        </w:rPr>
        <w:t>, עמ'</w:t>
      </w:r>
      <w:r>
        <w:rPr>
          <w:rFonts w:cs="David" w:hint="cs"/>
          <w:sz w:val="26"/>
          <w:szCs w:val="26"/>
          <w:rtl/>
        </w:rPr>
        <w:t xml:space="preserve"> 8-15.</w:t>
      </w:r>
    </w:p>
    <w:p w:rsidR="00DA1A43" w:rsidRPr="00526B14" w:rsidRDefault="00DA1A43" w:rsidP="00DA1A43">
      <w:pPr>
        <w:spacing w:line="360" w:lineRule="auto"/>
        <w:rPr>
          <w:rFonts w:cs="David"/>
          <w:sz w:val="26"/>
          <w:szCs w:val="26"/>
          <w:rtl/>
        </w:rPr>
      </w:pPr>
      <w:r>
        <w:rPr>
          <w:rFonts w:cs="David" w:hint="cs"/>
          <w:sz w:val="26"/>
          <w:szCs w:val="26"/>
          <w:rtl/>
        </w:rPr>
        <w:t xml:space="preserve">----, (1995) [1785], </w:t>
      </w:r>
      <w:r w:rsidRPr="00CD1295">
        <w:rPr>
          <w:rFonts w:cs="David" w:hint="cs"/>
          <w:i/>
          <w:iCs/>
          <w:sz w:val="26"/>
          <w:szCs w:val="26"/>
          <w:rtl/>
        </w:rPr>
        <w:t xml:space="preserve">הנחות יסוד </w:t>
      </w:r>
      <w:proofErr w:type="spellStart"/>
      <w:r w:rsidRPr="00CD1295">
        <w:rPr>
          <w:rFonts w:cs="David" w:hint="cs"/>
          <w:i/>
          <w:iCs/>
          <w:sz w:val="26"/>
          <w:szCs w:val="26"/>
          <w:rtl/>
        </w:rPr>
        <w:t>למטפיזיקת</w:t>
      </w:r>
      <w:proofErr w:type="spellEnd"/>
      <w:r w:rsidRPr="00CD1295">
        <w:rPr>
          <w:rFonts w:cs="David" w:hint="cs"/>
          <w:i/>
          <w:iCs/>
          <w:sz w:val="26"/>
          <w:szCs w:val="26"/>
          <w:rtl/>
        </w:rPr>
        <w:t xml:space="preserve"> המידות</w:t>
      </w:r>
      <w:r>
        <w:rPr>
          <w:rFonts w:cs="David" w:hint="cs"/>
          <w:sz w:val="26"/>
          <w:szCs w:val="26"/>
          <w:rtl/>
        </w:rPr>
        <w:t>,</w:t>
      </w:r>
      <w:r w:rsidRPr="00CD1295">
        <w:rPr>
          <w:rFonts w:cs="David" w:hint="cs"/>
          <w:sz w:val="26"/>
          <w:szCs w:val="26"/>
          <w:rtl/>
        </w:rPr>
        <w:t xml:space="preserve"> מאגנס: ירושלים</w:t>
      </w:r>
      <w:r>
        <w:rPr>
          <w:rFonts w:cs="David" w:hint="cs"/>
          <w:sz w:val="26"/>
          <w:szCs w:val="26"/>
          <w:rtl/>
        </w:rPr>
        <w:t>, עמ' 18-39, 78-83, 91-99.</w:t>
      </w:r>
    </w:p>
    <w:p w:rsidR="00DA1A43" w:rsidRDefault="00DA1A43" w:rsidP="00DA1A43">
      <w:pPr>
        <w:spacing w:line="360" w:lineRule="auto"/>
        <w:rPr>
          <w:rFonts w:cs="David"/>
          <w:sz w:val="26"/>
          <w:szCs w:val="26"/>
          <w:rtl/>
        </w:rPr>
      </w:pPr>
      <w:r w:rsidRPr="00526B14">
        <w:rPr>
          <w:rFonts w:cs="David"/>
          <w:sz w:val="26"/>
          <w:szCs w:val="26"/>
          <w:rtl/>
        </w:rPr>
        <w:t>*</w:t>
      </w:r>
      <w:proofErr w:type="spellStart"/>
      <w:r w:rsidRPr="00526B14">
        <w:rPr>
          <w:rFonts w:cs="David"/>
          <w:sz w:val="26"/>
          <w:szCs w:val="26"/>
          <w:rtl/>
        </w:rPr>
        <w:t>וינריב</w:t>
      </w:r>
      <w:proofErr w:type="spellEnd"/>
      <w:r w:rsidRPr="00526B14">
        <w:rPr>
          <w:rFonts w:cs="David"/>
          <w:sz w:val="26"/>
          <w:szCs w:val="26"/>
          <w:rtl/>
        </w:rPr>
        <w:t xml:space="preserve">, א. (2008), </w:t>
      </w:r>
      <w:r w:rsidRPr="00996119">
        <w:rPr>
          <w:rFonts w:cs="David"/>
          <w:i/>
          <w:iCs/>
          <w:sz w:val="26"/>
          <w:szCs w:val="26"/>
          <w:rtl/>
        </w:rPr>
        <w:t>בעיות בפילוסופיה של המוסר</w:t>
      </w:r>
      <w:r w:rsidRPr="00526B14">
        <w:rPr>
          <w:rFonts w:cs="David"/>
          <w:sz w:val="26"/>
          <w:szCs w:val="26"/>
          <w:rtl/>
        </w:rPr>
        <w:t>, תל אביב: האוניברסיטה הפתוחה,</w:t>
      </w:r>
      <w:r>
        <w:rPr>
          <w:rFonts w:cs="David"/>
          <w:sz w:val="26"/>
          <w:szCs w:val="26"/>
          <w:rtl/>
        </w:rPr>
        <w:t xml:space="preserve"> כרך א' יחידות 3-4, עמ' 221-346</w:t>
      </w:r>
      <w:r>
        <w:rPr>
          <w:rFonts w:cs="David" w:hint="cs"/>
          <w:sz w:val="26"/>
          <w:szCs w:val="26"/>
          <w:rtl/>
        </w:rPr>
        <w:t xml:space="preserve"> וכרך ב' יחידה 5, עמ' 9-96.</w:t>
      </w:r>
      <w:r w:rsidRPr="00526B14">
        <w:rPr>
          <w:rFonts w:cs="David"/>
          <w:sz w:val="26"/>
          <w:szCs w:val="26"/>
          <w:rtl/>
        </w:rPr>
        <w:t xml:space="preserve"> </w:t>
      </w:r>
    </w:p>
    <w:p w:rsidR="00B43D5D" w:rsidRDefault="00B43D5D" w:rsidP="00B43D5D">
      <w:pPr>
        <w:spacing w:line="360" w:lineRule="auto"/>
        <w:rPr>
          <w:rFonts w:cs="David"/>
          <w:sz w:val="26"/>
          <w:szCs w:val="26"/>
          <w:rtl/>
        </w:rPr>
      </w:pPr>
      <w:r>
        <w:rPr>
          <w:rFonts w:cs="David" w:hint="cs"/>
          <w:sz w:val="26"/>
          <w:szCs w:val="26"/>
          <w:rtl/>
        </w:rPr>
        <w:t xml:space="preserve">*יובל, י. (2013), "מבוא: הביקורת כמהפכה", בתוך </w:t>
      </w:r>
      <w:r w:rsidRPr="00E65F29">
        <w:rPr>
          <w:rFonts w:cs="David" w:hint="cs"/>
          <w:i/>
          <w:iCs/>
          <w:sz w:val="26"/>
          <w:szCs w:val="26"/>
          <w:rtl/>
        </w:rPr>
        <w:t>ביקורת התבונה הטהורה</w:t>
      </w:r>
      <w:r>
        <w:rPr>
          <w:rFonts w:cs="David" w:hint="cs"/>
          <w:sz w:val="26"/>
          <w:szCs w:val="26"/>
          <w:rtl/>
        </w:rPr>
        <w:t>, ת"א: הקיבוץ המאוחד, עמ' 21-34, 79-90.</w:t>
      </w:r>
    </w:p>
    <w:p w:rsidR="003F0B84" w:rsidRDefault="003F0B84" w:rsidP="003F0B84">
      <w:pPr>
        <w:tabs>
          <w:tab w:val="left" w:pos="9070"/>
        </w:tabs>
        <w:spacing w:line="360" w:lineRule="auto"/>
        <w:rPr>
          <w:rFonts w:cs="David"/>
          <w:sz w:val="26"/>
          <w:szCs w:val="26"/>
          <w:rtl/>
        </w:rPr>
      </w:pPr>
    </w:p>
    <w:p w:rsidR="003F0B84" w:rsidRDefault="004F692D" w:rsidP="006753D6">
      <w:pPr>
        <w:tabs>
          <w:tab w:val="left" w:pos="9070"/>
        </w:tabs>
        <w:spacing w:line="360" w:lineRule="auto"/>
        <w:rPr>
          <w:rFonts w:cs="David"/>
          <w:sz w:val="26"/>
          <w:szCs w:val="26"/>
          <w:rtl/>
        </w:rPr>
      </w:pPr>
      <w:r>
        <w:rPr>
          <w:rFonts w:cs="David" w:hint="cs"/>
          <w:b/>
          <w:bCs/>
          <w:sz w:val="26"/>
          <w:szCs w:val="26"/>
        </w:rPr>
        <w:t>II</w:t>
      </w:r>
      <w:r w:rsidR="003F0B84">
        <w:rPr>
          <w:rFonts w:cs="David" w:hint="cs"/>
          <w:b/>
          <w:bCs/>
          <w:sz w:val="26"/>
          <w:szCs w:val="26"/>
          <w:rtl/>
        </w:rPr>
        <w:t xml:space="preserve">. </w:t>
      </w:r>
      <w:r w:rsidR="00B43D5D">
        <w:rPr>
          <w:rFonts w:cs="David" w:hint="cs"/>
          <w:b/>
          <w:bCs/>
          <w:sz w:val="26"/>
          <w:szCs w:val="26"/>
          <w:rtl/>
        </w:rPr>
        <w:t>צדק</w:t>
      </w:r>
      <w:r w:rsidR="003F0B84">
        <w:rPr>
          <w:rFonts w:cs="David" w:hint="cs"/>
          <w:b/>
          <w:bCs/>
          <w:sz w:val="26"/>
          <w:szCs w:val="26"/>
          <w:rtl/>
        </w:rPr>
        <w:t>: דמוקרטיה ליברלית מול פשיזם</w:t>
      </w:r>
      <w:r w:rsidR="00C95C29">
        <w:rPr>
          <w:rFonts w:cs="David" w:hint="cs"/>
          <w:b/>
          <w:bCs/>
          <w:sz w:val="26"/>
          <w:szCs w:val="26"/>
          <w:rtl/>
        </w:rPr>
        <w:t>/טוטליטריזם</w:t>
      </w:r>
      <w:r w:rsidR="003F0B84">
        <w:rPr>
          <w:rFonts w:cs="David" w:hint="cs"/>
          <w:b/>
          <w:bCs/>
          <w:sz w:val="26"/>
          <w:szCs w:val="26"/>
          <w:rtl/>
        </w:rPr>
        <w:t xml:space="preserve"> - הרצאות</w:t>
      </w:r>
      <w:r w:rsidR="003F0B84" w:rsidRPr="008F18DC">
        <w:rPr>
          <w:rFonts w:cs="David" w:hint="cs"/>
          <w:b/>
          <w:bCs/>
          <w:sz w:val="26"/>
          <w:szCs w:val="26"/>
          <w:rtl/>
        </w:rPr>
        <w:t xml:space="preserve"> מס' </w:t>
      </w:r>
      <w:r w:rsidR="003F0B84">
        <w:rPr>
          <w:rFonts w:cs="David" w:hint="cs"/>
          <w:b/>
          <w:bCs/>
          <w:sz w:val="26"/>
          <w:szCs w:val="26"/>
          <w:rtl/>
        </w:rPr>
        <w:t>4-6</w:t>
      </w:r>
      <w:r w:rsidR="003F0B84" w:rsidRPr="008F18DC">
        <w:rPr>
          <w:rFonts w:cs="David" w:hint="cs"/>
          <w:b/>
          <w:bCs/>
          <w:sz w:val="26"/>
          <w:szCs w:val="26"/>
          <w:rtl/>
        </w:rPr>
        <w:t xml:space="preserve"> (</w:t>
      </w:r>
      <w:r w:rsidR="001A2664">
        <w:rPr>
          <w:rFonts w:cs="David" w:hint="cs"/>
          <w:b/>
          <w:bCs/>
          <w:sz w:val="26"/>
          <w:szCs w:val="26"/>
          <w:rtl/>
        </w:rPr>
        <w:t>8</w:t>
      </w:r>
      <w:r w:rsidR="003F0B84">
        <w:rPr>
          <w:rFonts w:cs="David" w:hint="cs"/>
          <w:b/>
          <w:bCs/>
          <w:sz w:val="26"/>
          <w:szCs w:val="26"/>
          <w:rtl/>
        </w:rPr>
        <w:t>.1</w:t>
      </w:r>
      <w:r w:rsidR="001A2664">
        <w:rPr>
          <w:rFonts w:cs="David" w:hint="cs"/>
          <w:b/>
          <w:bCs/>
          <w:sz w:val="26"/>
          <w:szCs w:val="26"/>
          <w:rtl/>
        </w:rPr>
        <w:t>2</w:t>
      </w:r>
      <w:r w:rsidR="003F0B84">
        <w:rPr>
          <w:rFonts w:cs="David" w:hint="cs"/>
          <w:b/>
          <w:bCs/>
          <w:sz w:val="26"/>
          <w:szCs w:val="26"/>
          <w:rtl/>
        </w:rPr>
        <w:t xml:space="preserve">, </w:t>
      </w:r>
      <w:r w:rsidR="001A2664">
        <w:rPr>
          <w:rFonts w:cs="David" w:hint="cs"/>
          <w:b/>
          <w:bCs/>
          <w:sz w:val="26"/>
          <w:szCs w:val="26"/>
          <w:rtl/>
        </w:rPr>
        <w:t>1.12</w:t>
      </w:r>
      <w:r w:rsidR="003F0B84">
        <w:rPr>
          <w:rFonts w:cs="David" w:hint="cs"/>
          <w:b/>
          <w:bCs/>
          <w:sz w:val="26"/>
          <w:szCs w:val="26"/>
          <w:rtl/>
        </w:rPr>
        <w:t xml:space="preserve">, </w:t>
      </w:r>
      <w:r w:rsidR="006753D6">
        <w:rPr>
          <w:rFonts w:cs="David" w:hint="cs"/>
          <w:b/>
          <w:bCs/>
          <w:sz w:val="26"/>
          <w:szCs w:val="26"/>
          <w:rtl/>
        </w:rPr>
        <w:t>17</w:t>
      </w:r>
      <w:bookmarkStart w:id="0" w:name="_GoBack"/>
      <w:bookmarkEnd w:id="0"/>
      <w:r w:rsidR="003F0B84">
        <w:rPr>
          <w:rFonts w:cs="David" w:hint="cs"/>
          <w:b/>
          <w:bCs/>
          <w:sz w:val="26"/>
          <w:szCs w:val="26"/>
          <w:rtl/>
        </w:rPr>
        <w:t>.11)</w:t>
      </w:r>
    </w:p>
    <w:p w:rsidR="003F0B84" w:rsidRDefault="003F0B84" w:rsidP="003F0B84">
      <w:pPr>
        <w:tabs>
          <w:tab w:val="left" w:pos="9070"/>
        </w:tabs>
        <w:spacing w:line="360" w:lineRule="auto"/>
        <w:rPr>
          <w:rFonts w:cs="David"/>
          <w:sz w:val="26"/>
          <w:szCs w:val="26"/>
          <w:rtl/>
        </w:rPr>
      </w:pPr>
      <w:proofErr w:type="spellStart"/>
      <w:r w:rsidRPr="008F18DC">
        <w:rPr>
          <w:rFonts w:cs="David" w:hint="cs"/>
          <w:sz w:val="26"/>
          <w:szCs w:val="26"/>
          <w:rtl/>
        </w:rPr>
        <w:t>רולס</w:t>
      </w:r>
      <w:proofErr w:type="spellEnd"/>
      <w:r w:rsidRPr="008F18DC">
        <w:rPr>
          <w:rFonts w:cs="David" w:hint="cs"/>
          <w:sz w:val="26"/>
          <w:szCs w:val="26"/>
          <w:rtl/>
        </w:rPr>
        <w:t xml:space="preserve">, </w:t>
      </w:r>
      <w:r>
        <w:rPr>
          <w:rFonts w:cs="David" w:hint="cs"/>
          <w:sz w:val="26"/>
          <w:szCs w:val="26"/>
          <w:rtl/>
        </w:rPr>
        <w:t xml:space="preserve">ג'. </w:t>
      </w:r>
      <w:r w:rsidRPr="008F18DC">
        <w:rPr>
          <w:rFonts w:cs="David" w:hint="cs"/>
          <w:sz w:val="26"/>
          <w:szCs w:val="26"/>
          <w:rtl/>
        </w:rPr>
        <w:t xml:space="preserve">(2010), </w:t>
      </w:r>
      <w:r w:rsidRPr="008F18DC">
        <w:rPr>
          <w:rFonts w:cs="David" w:hint="cs"/>
          <w:i/>
          <w:iCs/>
          <w:sz w:val="26"/>
          <w:szCs w:val="26"/>
          <w:rtl/>
        </w:rPr>
        <w:t>צדק כהוגנות- הצגה מחודשת</w:t>
      </w:r>
      <w:r w:rsidRPr="008F18DC">
        <w:rPr>
          <w:rFonts w:cs="David" w:hint="cs"/>
          <w:sz w:val="26"/>
          <w:szCs w:val="26"/>
          <w:rtl/>
        </w:rPr>
        <w:t xml:space="preserve">, </w:t>
      </w:r>
      <w:r>
        <w:rPr>
          <w:rFonts w:cs="David" w:hint="cs"/>
          <w:sz w:val="26"/>
          <w:szCs w:val="26"/>
          <w:rtl/>
        </w:rPr>
        <w:t xml:space="preserve">ת"א: ידיעות ספרי עליית הגג, </w:t>
      </w:r>
      <w:r w:rsidRPr="008F18DC">
        <w:rPr>
          <w:rFonts w:cs="David" w:hint="cs"/>
          <w:sz w:val="26"/>
          <w:szCs w:val="26"/>
          <w:rtl/>
        </w:rPr>
        <w:t>חלק א' סעיפים 2-4, 6-7, 9-10 וחלק ב' סעיפים 13-14, 28, עמ' 74-85, 88-102, 104-112, 127-141, 207-212.</w:t>
      </w:r>
    </w:p>
    <w:p w:rsidR="00B43D5D" w:rsidRDefault="00B43D5D" w:rsidP="00C95C29">
      <w:pPr>
        <w:spacing w:line="360" w:lineRule="auto"/>
        <w:rPr>
          <w:rFonts w:cs="David"/>
          <w:sz w:val="26"/>
          <w:szCs w:val="26"/>
          <w:rtl/>
        </w:rPr>
      </w:pPr>
      <w:proofErr w:type="spellStart"/>
      <w:r w:rsidRPr="0058457D">
        <w:rPr>
          <w:rFonts w:cs="David" w:hint="cs"/>
          <w:sz w:val="26"/>
          <w:szCs w:val="26"/>
          <w:rtl/>
        </w:rPr>
        <w:t>מוסוליני</w:t>
      </w:r>
      <w:proofErr w:type="spellEnd"/>
      <w:r w:rsidRPr="0058457D">
        <w:rPr>
          <w:rFonts w:cs="David" w:hint="cs"/>
          <w:sz w:val="26"/>
          <w:szCs w:val="26"/>
          <w:rtl/>
        </w:rPr>
        <w:t>,</w:t>
      </w:r>
      <w:r w:rsidRPr="0058457D">
        <w:rPr>
          <w:rFonts w:cs="David"/>
          <w:sz w:val="26"/>
          <w:szCs w:val="26"/>
          <w:rtl/>
        </w:rPr>
        <w:t xml:space="preserve"> </w:t>
      </w:r>
      <w:r w:rsidRPr="0058457D">
        <w:rPr>
          <w:rFonts w:cs="David" w:hint="cs"/>
          <w:sz w:val="26"/>
          <w:szCs w:val="26"/>
          <w:rtl/>
        </w:rPr>
        <w:t xml:space="preserve">ב. (1988), </w:t>
      </w:r>
      <w:r w:rsidRPr="0058457D">
        <w:rPr>
          <w:rFonts w:cs="David"/>
          <w:sz w:val="26"/>
          <w:szCs w:val="26"/>
          <w:rtl/>
        </w:rPr>
        <w:t>"תורת הפשיזם"</w:t>
      </w:r>
      <w:r w:rsidRPr="0058457D">
        <w:rPr>
          <w:rFonts w:cs="David" w:hint="cs"/>
          <w:sz w:val="26"/>
          <w:szCs w:val="26"/>
          <w:rtl/>
        </w:rPr>
        <w:t>,</w:t>
      </w:r>
      <w:r w:rsidRPr="0058457D">
        <w:rPr>
          <w:rFonts w:cs="David"/>
          <w:sz w:val="26"/>
          <w:szCs w:val="26"/>
          <w:rtl/>
        </w:rPr>
        <w:t xml:space="preserve"> בתוך</w:t>
      </w:r>
      <w:r w:rsidRPr="0058457D">
        <w:rPr>
          <w:rFonts w:cs="David" w:hint="cs"/>
          <w:sz w:val="26"/>
          <w:szCs w:val="26"/>
          <w:rtl/>
        </w:rPr>
        <w:t>:</w:t>
      </w:r>
      <w:r w:rsidRPr="0058457D">
        <w:rPr>
          <w:rFonts w:cs="David"/>
          <w:sz w:val="26"/>
          <w:szCs w:val="26"/>
          <w:rtl/>
        </w:rPr>
        <w:t xml:space="preserve"> </w:t>
      </w:r>
      <w:r w:rsidRPr="0058457D">
        <w:rPr>
          <w:rFonts w:cs="David"/>
          <w:i/>
          <w:iCs/>
          <w:sz w:val="26"/>
          <w:szCs w:val="26"/>
          <w:rtl/>
        </w:rPr>
        <w:t>המחשבה הפשיסטית לגווניה</w:t>
      </w:r>
      <w:r w:rsidRPr="0058457D">
        <w:rPr>
          <w:rFonts w:cs="David" w:hint="cs"/>
          <w:i/>
          <w:iCs/>
          <w:sz w:val="26"/>
          <w:szCs w:val="26"/>
          <w:rtl/>
        </w:rPr>
        <w:t xml:space="preserve">, </w:t>
      </w:r>
      <w:proofErr w:type="spellStart"/>
      <w:r w:rsidRPr="0058457D">
        <w:rPr>
          <w:rFonts w:cs="David"/>
          <w:sz w:val="26"/>
          <w:szCs w:val="26"/>
          <w:rtl/>
        </w:rPr>
        <w:t>שטרנהל</w:t>
      </w:r>
      <w:proofErr w:type="spellEnd"/>
      <w:r w:rsidRPr="0058457D">
        <w:rPr>
          <w:rFonts w:cs="David" w:hint="cs"/>
          <w:sz w:val="26"/>
          <w:szCs w:val="26"/>
          <w:rtl/>
        </w:rPr>
        <w:t>, ז. (עורך), תל אביב: ספרית פועלים,</w:t>
      </w:r>
      <w:r w:rsidRPr="0058457D">
        <w:rPr>
          <w:rFonts w:cs="David"/>
          <w:sz w:val="26"/>
          <w:szCs w:val="26"/>
          <w:rtl/>
        </w:rPr>
        <w:t xml:space="preserve"> עמ' 165-185</w:t>
      </w:r>
      <w:r>
        <w:rPr>
          <w:rFonts w:cs="David"/>
          <w:sz w:val="26"/>
          <w:szCs w:val="26"/>
        </w:rPr>
        <w:t xml:space="preserve"> .</w:t>
      </w:r>
    </w:p>
    <w:p w:rsidR="00C95C29" w:rsidRPr="00B43D5D" w:rsidRDefault="00C95C29" w:rsidP="00C95C29">
      <w:pPr>
        <w:spacing w:line="360" w:lineRule="auto"/>
        <w:rPr>
          <w:rFonts w:cs="David"/>
          <w:sz w:val="26"/>
          <w:szCs w:val="26"/>
          <w:rtl/>
        </w:rPr>
      </w:pPr>
      <w:r w:rsidRPr="008F18DC">
        <w:rPr>
          <w:rFonts w:cs="David" w:hint="cs"/>
          <w:sz w:val="26"/>
          <w:szCs w:val="26"/>
          <w:rtl/>
        </w:rPr>
        <w:t>אורוול</w:t>
      </w:r>
      <w:r>
        <w:rPr>
          <w:rFonts w:cs="David" w:hint="cs"/>
          <w:sz w:val="26"/>
          <w:szCs w:val="26"/>
          <w:rtl/>
        </w:rPr>
        <w:t>, ג'.</w:t>
      </w:r>
      <w:r w:rsidRPr="008F18DC">
        <w:rPr>
          <w:rFonts w:cs="David" w:hint="cs"/>
          <w:sz w:val="26"/>
          <w:szCs w:val="26"/>
          <w:rtl/>
        </w:rPr>
        <w:t xml:space="preserve"> (1990) [1948],  </w:t>
      </w:r>
      <w:r w:rsidRPr="008F18DC">
        <w:rPr>
          <w:rFonts w:cs="David"/>
          <w:i/>
          <w:iCs/>
          <w:sz w:val="26"/>
          <w:szCs w:val="26"/>
          <w:rtl/>
        </w:rPr>
        <w:t>1984</w:t>
      </w:r>
      <w:r w:rsidRPr="008F18DC">
        <w:rPr>
          <w:rFonts w:cs="David" w:hint="cs"/>
          <w:sz w:val="26"/>
          <w:szCs w:val="26"/>
          <w:rtl/>
        </w:rPr>
        <w:t>,</w:t>
      </w:r>
      <w:r>
        <w:rPr>
          <w:rFonts w:cs="David" w:hint="cs"/>
          <w:sz w:val="26"/>
          <w:szCs w:val="26"/>
          <w:rtl/>
        </w:rPr>
        <w:t xml:space="preserve"> </w:t>
      </w:r>
      <w:r w:rsidRPr="008F18DC">
        <w:rPr>
          <w:rFonts w:cs="David" w:hint="cs"/>
          <w:sz w:val="26"/>
          <w:szCs w:val="26"/>
          <w:rtl/>
        </w:rPr>
        <w:t>תל אביב: עם עובד.</w:t>
      </w:r>
    </w:p>
    <w:p w:rsidR="00B43D5D" w:rsidRPr="00B43D5D" w:rsidRDefault="00B43D5D" w:rsidP="00B43D5D">
      <w:pPr>
        <w:spacing w:line="360" w:lineRule="auto"/>
        <w:rPr>
          <w:rFonts w:ascii="Arial" w:hAnsi="Arial" w:cs="David"/>
          <w:color w:val="000000"/>
          <w:sz w:val="26"/>
          <w:szCs w:val="26"/>
          <w:rtl/>
        </w:rPr>
      </w:pPr>
      <w:r w:rsidRPr="00996119">
        <w:rPr>
          <w:rFonts w:cs="David"/>
          <w:sz w:val="26"/>
          <w:szCs w:val="26"/>
          <w:rtl/>
        </w:rPr>
        <w:t xml:space="preserve">*דהאן, י. (2013), </w:t>
      </w:r>
      <w:r w:rsidRPr="00996119">
        <w:rPr>
          <w:rFonts w:cs="David"/>
          <w:i/>
          <w:iCs/>
          <w:sz w:val="26"/>
          <w:szCs w:val="26"/>
          <w:rtl/>
        </w:rPr>
        <w:t>תיאוריות של צדק חברתי</w:t>
      </w:r>
      <w:r w:rsidRPr="00996119">
        <w:rPr>
          <w:rFonts w:cs="David"/>
          <w:sz w:val="26"/>
          <w:szCs w:val="26"/>
          <w:rtl/>
        </w:rPr>
        <w:t>, מהדורה חדשה ומורחבת, רעננה: או"פ</w:t>
      </w:r>
      <w:r>
        <w:rPr>
          <w:rFonts w:cs="David" w:hint="cs"/>
          <w:sz w:val="26"/>
          <w:szCs w:val="26"/>
          <w:rtl/>
        </w:rPr>
        <w:t>, פרק ב', עמ' 29-47</w:t>
      </w:r>
      <w:r w:rsidRPr="00996119">
        <w:rPr>
          <w:rFonts w:cs="David"/>
          <w:sz w:val="26"/>
          <w:szCs w:val="26"/>
          <w:rtl/>
        </w:rPr>
        <w:t>.</w:t>
      </w:r>
    </w:p>
    <w:p w:rsidR="00B43D5D" w:rsidRDefault="00B43D5D" w:rsidP="00B43D5D">
      <w:pPr>
        <w:spacing w:line="360" w:lineRule="auto"/>
        <w:rPr>
          <w:rFonts w:cs="David"/>
          <w:b/>
          <w:bCs/>
          <w:sz w:val="26"/>
          <w:szCs w:val="26"/>
          <w:rtl/>
        </w:rPr>
      </w:pPr>
      <w:r w:rsidRPr="0058457D">
        <w:rPr>
          <w:rFonts w:cs="David" w:hint="cs"/>
          <w:sz w:val="26"/>
          <w:szCs w:val="26"/>
          <w:rtl/>
        </w:rPr>
        <w:t>*</w:t>
      </w:r>
      <w:proofErr w:type="spellStart"/>
      <w:r w:rsidRPr="0058457D">
        <w:rPr>
          <w:rFonts w:cs="David" w:hint="cs"/>
          <w:sz w:val="26"/>
          <w:szCs w:val="26"/>
          <w:rtl/>
        </w:rPr>
        <w:t>שטרנהל</w:t>
      </w:r>
      <w:proofErr w:type="spellEnd"/>
      <w:r w:rsidRPr="0058457D">
        <w:rPr>
          <w:rFonts w:cs="David" w:hint="cs"/>
          <w:sz w:val="26"/>
          <w:szCs w:val="26"/>
          <w:rtl/>
        </w:rPr>
        <w:t xml:space="preserve">, ז. שניידר, מ. אושרי, מ. (1992),  </w:t>
      </w:r>
      <w:r w:rsidRPr="0058457D">
        <w:rPr>
          <w:rFonts w:cs="David" w:hint="cs"/>
          <w:i/>
          <w:iCs/>
          <w:sz w:val="26"/>
          <w:szCs w:val="26"/>
          <w:rtl/>
        </w:rPr>
        <w:t>יסודות הפשיזם: ממד תרבותי למהפכה פוליטית</w:t>
      </w:r>
      <w:r w:rsidRPr="0058457D">
        <w:rPr>
          <w:rFonts w:cs="David" w:hint="cs"/>
          <w:sz w:val="26"/>
          <w:szCs w:val="26"/>
          <w:rtl/>
        </w:rPr>
        <w:t>, תל אביב: עם עובד.</w:t>
      </w:r>
    </w:p>
    <w:p w:rsidR="004F692D" w:rsidRDefault="004F692D" w:rsidP="001A2664">
      <w:pPr>
        <w:spacing w:line="360" w:lineRule="auto"/>
        <w:rPr>
          <w:rFonts w:cs="David"/>
          <w:sz w:val="26"/>
          <w:szCs w:val="26"/>
          <w:rtl/>
        </w:rPr>
      </w:pPr>
    </w:p>
    <w:p w:rsidR="00C95C29" w:rsidRPr="008F18DC" w:rsidRDefault="004F692D" w:rsidP="001A2664">
      <w:pPr>
        <w:spacing w:line="360" w:lineRule="auto"/>
        <w:rPr>
          <w:rFonts w:cs="David"/>
          <w:b/>
          <w:bCs/>
          <w:sz w:val="26"/>
          <w:szCs w:val="26"/>
          <w:rtl/>
        </w:rPr>
      </w:pPr>
      <w:r>
        <w:rPr>
          <w:rFonts w:cs="David" w:hint="cs"/>
          <w:b/>
          <w:bCs/>
          <w:sz w:val="26"/>
          <w:szCs w:val="26"/>
        </w:rPr>
        <w:t>III</w:t>
      </w:r>
      <w:r w:rsidR="00B43D5D">
        <w:rPr>
          <w:rFonts w:cs="David" w:hint="cs"/>
          <w:b/>
          <w:bCs/>
          <w:sz w:val="26"/>
          <w:szCs w:val="26"/>
          <w:rtl/>
        </w:rPr>
        <w:t xml:space="preserve">. </w:t>
      </w:r>
      <w:r w:rsidR="00C95C29">
        <w:rPr>
          <w:rFonts w:cs="David" w:hint="cs"/>
          <w:b/>
          <w:bCs/>
          <w:sz w:val="26"/>
          <w:szCs w:val="26"/>
          <w:rtl/>
        </w:rPr>
        <w:t xml:space="preserve">טבע: אינדיבידואליזם מול </w:t>
      </w:r>
      <w:proofErr w:type="spellStart"/>
      <w:r w:rsidR="00C95C29">
        <w:rPr>
          <w:rFonts w:cs="David" w:hint="cs"/>
          <w:b/>
          <w:bCs/>
          <w:sz w:val="26"/>
          <w:szCs w:val="26"/>
          <w:rtl/>
        </w:rPr>
        <w:t>קהילתנות</w:t>
      </w:r>
      <w:proofErr w:type="spellEnd"/>
      <w:r w:rsidR="00C95C29">
        <w:rPr>
          <w:rFonts w:cs="David" w:hint="cs"/>
          <w:b/>
          <w:bCs/>
          <w:sz w:val="26"/>
          <w:szCs w:val="26"/>
          <w:rtl/>
        </w:rPr>
        <w:t xml:space="preserve"> - </w:t>
      </w:r>
      <w:r w:rsidR="001A2664">
        <w:rPr>
          <w:rFonts w:cs="David" w:hint="cs"/>
          <w:b/>
          <w:bCs/>
          <w:sz w:val="26"/>
          <w:szCs w:val="26"/>
          <w:rtl/>
        </w:rPr>
        <w:t>הרצאות 7-9 (5.1</w:t>
      </w:r>
      <w:r w:rsidR="00C95C29">
        <w:rPr>
          <w:rFonts w:cs="David" w:hint="cs"/>
          <w:b/>
          <w:bCs/>
          <w:sz w:val="26"/>
          <w:szCs w:val="26"/>
          <w:rtl/>
        </w:rPr>
        <w:t xml:space="preserve">, </w:t>
      </w:r>
      <w:r w:rsidR="001A2664">
        <w:rPr>
          <w:rFonts w:cs="David" w:hint="cs"/>
          <w:b/>
          <w:bCs/>
          <w:sz w:val="26"/>
          <w:szCs w:val="26"/>
          <w:rtl/>
        </w:rPr>
        <w:t>2</w:t>
      </w:r>
      <w:r w:rsidR="00C95C29">
        <w:rPr>
          <w:rFonts w:cs="David" w:hint="cs"/>
          <w:b/>
          <w:bCs/>
          <w:sz w:val="26"/>
          <w:szCs w:val="26"/>
          <w:rtl/>
        </w:rPr>
        <w:t>2.12, 1</w:t>
      </w:r>
      <w:r w:rsidR="001A2664">
        <w:rPr>
          <w:rFonts w:cs="David" w:hint="cs"/>
          <w:b/>
          <w:bCs/>
          <w:sz w:val="26"/>
          <w:szCs w:val="26"/>
          <w:rtl/>
        </w:rPr>
        <w:t>5</w:t>
      </w:r>
      <w:r w:rsidR="00C95C29">
        <w:rPr>
          <w:rFonts w:cs="David" w:hint="cs"/>
          <w:b/>
          <w:bCs/>
          <w:sz w:val="26"/>
          <w:szCs w:val="26"/>
          <w:rtl/>
        </w:rPr>
        <w:t xml:space="preserve">.12) </w:t>
      </w:r>
    </w:p>
    <w:p w:rsidR="004F692D" w:rsidRDefault="004F692D" w:rsidP="004F692D">
      <w:pPr>
        <w:spacing w:line="360" w:lineRule="auto"/>
        <w:rPr>
          <w:rFonts w:cs="David"/>
          <w:sz w:val="26"/>
          <w:szCs w:val="26"/>
          <w:rtl/>
        </w:rPr>
      </w:pPr>
      <w:r w:rsidRPr="00791F7A">
        <w:rPr>
          <w:rFonts w:cs="David" w:hint="cs"/>
          <w:sz w:val="26"/>
          <w:szCs w:val="26"/>
          <w:rtl/>
        </w:rPr>
        <w:t xml:space="preserve">ניטשה, פ. (1975), </w:t>
      </w:r>
      <w:r w:rsidRPr="00791F7A">
        <w:rPr>
          <w:rFonts w:cs="David" w:hint="cs"/>
          <w:i/>
          <w:iCs/>
          <w:sz w:val="26"/>
          <w:szCs w:val="26"/>
          <w:rtl/>
        </w:rPr>
        <w:t xml:space="preserve">מעבר לטוב ולרוע: </w:t>
      </w:r>
      <w:proofErr w:type="spellStart"/>
      <w:r w:rsidRPr="00791F7A">
        <w:rPr>
          <w:rFonts w:cs="David" w:hint="cs"/>
          <w:i/>
          <w:iCs/>
          <w:sz w:val="26"/>
          <w:szCs w:val="26"/>
          <w:rtl/>
        </w:rPr>
        <w:t>לגיניאולוגיה</w:t>
      </w:r>
      <w:proofErr w:type="spellEnd"/>
      <w:r w:rsidRPr="00791F7A">
        <w:rPr>
          <w:rFonts w:cs="David" w:hint="cs"/>
          <w:i/>
          <w:iCs/>
          <w:sz w:val="26"/>
          <w:szCs w:val="26"/>
          <w:rtl/>
        </w:rPr>
        <w:t xml:space="preserve"> של המוסר</w:t>
      </w:r>
      <w:r w:rsidRPr="00791F7A">
        <w:rPr>
          <w:rFonts w:cs="David" w:hint="cs"/>
          <w:sz w:val="26"/>
          <w:szCs w:val="26"/>
          <w:rtl/>
        </w:rPr>
        <w:t>, ירושלים: שוקן,</w:t>
      </w:r>
      <w:r>
        <w:rPr>
          <w:rFonts w:cs="David" w:hint="cs"/>
          <w:b/>
          <w:bCs/>
          <w:sz w:val="26"/>
          <w:szCs w:val="26"/>
          <w:rtl/>
        </w:rPr>
        <w:t xml:space="preserve"> </w:t>
      </w:r>
      <w:r w:rsidRPr="00791F7A">
        <w:rPr>
          <w:rFonts w:cs="David"/>
          <w:sz w:val="26"/>
          <w:szCs w:val="26"/>
          <w:rtl/>
        </w:rPr>
        <w:t>סעיפים 23-24, 29, 32, 41, 188, 201, 259-260, עמ' 34-36, 42, 44-46, 52-3, 93-95, 106-108, 185-189.</w:t>
      </w:r>
    </w:p>
    <w:p w:rsidR="00C95C29" w:rsidRPr="004F692D" w:rsidRDefault="00C95C29" w:rsidP="004F692D">
      <w:pPr>
        <w:spacing w:line="360" w:lineRule="auto"/>
        <w:rPr>
          <w:rFonts w:cs="David"/>
          <w:b/>
          <w:bCs/>
          <w:sz w:val="26"/>
          <w:szCs w:val="26"/>
          <w:rtl/>
        </w:rPr>
      </w:pPr>
      <w:proofErr w:type="spellStart"/>
      <w:r w:rsidRPr="008F18DC">
        <w:rPr>
          <w:rFonts w:cs="David" w:hint="cs"/>
          <w:sz w:val="26"/>
          <w:szCs w:val="26"/>
          <w:rtl/>
        </w:rPr>
        <w:t>ארדנט</w:t>
      </w:r>
      <w:proofErr w:type="spellEnd"/>
      <w:r>
        <w:rPr>
          <w:rFonts w:cs="David" w:hint="cs"/>
          <w:sz w:val="26"/>
          <w:szCs w:val="26"/>
          <w:rtl/>
        </w:rPr>
        <w:t>, ח.</w:t>
      </w:r>
      <w:r w:rsidRPr="008F18DC">
        <w:rPr>
          <w:rFonts w:cs="David" w:hint="cs"/>
          <w:sz w:val="26"/>
          <w:szCs w:val="26"/>
          <w:rtl/>
        </w:rPr>
        <w:t xml:space="preserve"> (201</w:t>
      </w:r>
      <w:r>
        <w:rPr>
          <w:rFonts w:cs="David" w:hint="cs"/>
          <w:sz w:val="26"/>
          <w:szCs w:val="26"/>
          <w:rtl/>
        </w:rPr>
        <w:t xml:space="preserve">3), </w:t>
      </w:r>
      <w:r w:rsidRPr="009A4DA0">
        <w:rPr>
          <w:rFonts w:cs="David" w:hint="cs"/>
          <w:i/>
          <w:iCs/>
          <w:sz w:val="26"/>
          <w:szCs w:val="26"/>
          <w:rtl/>
        </w:rPr>
        <w:t>המצב האנושי</w:t>
      </w:r>
      <w:r>
        <w:rPr>
          <w:rFonts w:cs="David" w:hint="cs"/>
          <w:sz w:val="26"/>
          <w:szCs w:val="26"/>
          <w:rtl/>
        </w:rPr>
        <w:t>, בני ברק: הקיבוץ המאוחד, פרקים 1-2, עמ' 35-109.</w:t>
      </w:r>
    </w:p>
    <w:p w:rsidR="004F692D" w:rsidRPr="004F692D" w:rsidRDefault="00C95C29" w:rsidP="004F692D">
      <w:pPr>
        <w:spacing w:line="360" w:lineRule="auto"/>
        <w:jc w:val="right"/>
        <w:rPr>
          <w:rFonts w:cs="David"/>
          <w:color w:val="000000"/>
          <w:sz w:val="26"/>
          <w:szCs w:val="26"/>
          <w:rtl/>
        </w:rPr>
      </w:pPr>
      <w:r>
        <w:rPr>
          <w:rFonts w:cs="David"/>
          <w:color w:val="000000"/>
          <w:sz w:val="26"/>
          <w:szCs w:val="26"/>
        </w:rPr>
        <w:t>*</w:t>
      </w:r>
      <w:r w:rsidRPr="008F18DC">
        <w:rPr>
          <w:rFonts w:cs="David"/>
          <w:color w:val="000000"/>
          <w:sz w:val="26"/>
          <w:szCs w:val="26"/>
        </w:rPr>
        <w:t xml:space="preserve">Foucault, M. (1980), “Two Lectures”, in </w:t>
      </w:r>
      <w:r w:rsidRPr="008F18DC">
        <w:rPr>
          <w:rFonts w:cs="David"/>
          <w:i/>
          <w:iCs/>
          <w:color w:val="000000"/>
          <w:sz w:val="26"/>
          <w:szCs w:val="26"/>
        </w:rPr>
        <w:t>Power/Knowledge</w:t>
      </w:r>
      <w:r w:rsidRPr="008F18DC">
        <w:rPr>
          <w:rFonts w:cs="David"/>
          <w:color w:val="000000"/>
          <w:sz w:val="26"/>
          <w:szCs w:val="26"/>
        </w:rPr>
        <w:t>,</w:t>
      </w:r>
      <w:r w:rsidRPr="008F18DC">
        <w:rPr>
          <w:rFonts w:ascii="Arial" w:hAnsi="Arial" w:cs="Arial"/>
          <w:color w:val="212063"/>
          <w:sz w:val="26"/>
          <w:szCs w:val="26"/>
        </w:rPr>
        <w:t xml:space="preserve"> </w:t>
      </w:r>
      <w:r w:rsidRPr="008F18DC">
        <w:rPr>
          <w:sz w:val="26"/>
          <w:szCs w:val="26"/>
        </w:rPr>
        <w:t xml:space="preserve">New York: Pantheon Books, </w:t>
      </w:r>
      <w:r w:rsidRPr="00EF22AF">
        <w:rPr>
          <w:sz w:val="26"/>
          <w:szCs w:val="26"/>
        </w:rPr>
        <w:t>pp. 78-108.</w:t>
      </w:r>
    </w:p>
    <w:p w:rsidR="004F692D" w:rsidRPr="00791F7A" w:rsidRDefault="004F692D" w:rsidP="004F692D">
      <w:pPr>
        <w:spacing w:line="360" w:lineRule="auto"/>
        <w:rPr>
          <w:rFonts w:cs="David"/>
          <w:sz w:val="26"/>
          <w:szCs w:val="26"/>
          <w:rtl/>
        </w:rPr>
      </w:pPr>
      <w:r>
        <w:rPr>
          <w:rFonts w:cs="David" w:hint="cs"/>
          <w:sz w:val="26"/>
          <w:szCs w:val="26"/>
          <w:rtl/>
        </w:rPr>
        <w:t>*</w:t>
      </w:r>
      <w:r w:rsidRPr="00791F7A">
        <w:rPr>
          <w:rtl/>
        </w:rPr>
        <w:t xml:space="preserve"> </w:t>
      </w:r>
      <w:r w:rsidRPr="00791F7A">
        <w:rPr>
          <w:rFonts w:cs="David"/>
          <w:sz w:val="26"/>
          <w:szCs w:val="26"/>
          <w:rtl/>
        </w:rPr>
        <w:t>גולומב</w:t>
      </w:r>
      <w:r>
        <w:rPr>
          <w:rFonts w:cs="David" w:hint="cs"/>
          <w:sz w:val="26"/>
          <w:szCs w:val="26"/>
          <w:rtl/>
        </w:rPr>
        <w:t>, י.</w:t>
      </w:r>
      <w:r w:rsidRPr="00791F7A">
        <w:rPr>
          <w:rFonts w:cs="David"/>
          <w:sz w:val="26"/>
          <w:szCs w:val="26"/>
          <w:rtl/>
        </w:rPr>
        <w:t xml:space="preserve"> (1989), </w:t>
      </w:r>
      <w:r w:rsidRPr="009A4DA0">
        <w:rPr>
          <w:rFonts w:cs="David"/>
          <w:i/>
          <w:iCs/>
          <w:sz w:val="26"/>
          <w:szCs w:val="26"/>
          <w:rtl/>
        </w:rPr>
        <w:t>הפיתוי לעוצמה: בין ניטשה ופרויד</w:t>
      </w:r>
      <w:r>
        <w:rPr>
          <w:rFonts w:cs="David"/>
          <w:sz w:val="26"/>
          <w:szCs w:val="26"/>
          <w:rtl/>
        </w:rPr>
        <w:t xml:space="preserve">, </w:t>
      </w:r>
      <w:r w:rsidRPr="00791F7A">
        <w:rPr>
          <w:rFonts w:cs="David"/>
          <w:sz w:val="26"/>
          <w:szCs w:val="26"/>
          <w:rtl/>
        </w:rPr>
        <w:t>ירושלים</w:t>
      </w:r>
      <w:r>
        <w:rPr>
          <w:rFonts w:cs="David" w:hint="cs"/>
          <w:sz w:val="26"/>
          <w:szCs w:val="26"/>
          <w:rtl/>
        </w:rPr>
        <w:t>: מאגנס</w:t>
      </w:r>
      <w:r w:rsidRPr="00791F7A">
        <w:rPr>
          <w:rFonts w:cs="David"/>
          <w:sz w:val="26"/>
          <w:szCs w:val="26"/>
          <w:rtl/>
        </w:rPr>
        <w:t>, פרק שני, עמ' 44-65.</w:t>
      </w:r>
    </w:p>
    <w:p w:rsidR="004F692D" w:rsidRPr="00E62E86" w:rsidRDefault="004F692D" w:rsidP="004F692D">
      <w:pPr>
        <w:rPr>
          <w:rtl/>
        </w:rPr>
      </w:pPr>
      <w:r>
        <w:rPr>
          <w:rFonts w:cs="David" w:hint="cs"/>
          <w:sz w:val="26"/>
          <w:szCs w:val="26"/>
          <w:rtl/>
        </w:rPr>
        <w:t>*</w:t>
      </w:r>
      <w:proofErr w:type="spellStart"/>
      <w:r w:rsidRPr="00791F7A">
        <w:rPr>
          <w:rFonts w:cs="David"/>
          <w:sz w:val="26"/>
          <w:szCs w:val="26"/>
          <w:rtl/>
        </w:rPr>
        <w:t>סיגד</w:t>
      </w:r>
      <w:proofErr w:type="spellEnd"/>
      <w:r>
        <w:rPr>
          <w:rFonts w:cs="David" w:hint="cs"/>
          <w:sz w:val="26"/>
          <w:szCs w:val="26"/>
          <w:rtl/>
        </w:rPr>
        <w:t>, ר.</w:t>
      </w:r>
      <w:r w:rsidRPr="00791F7A">
        <w:rPr>
          <w:rFonts w:cs="David"/>
          <w:sz w:val="26"/>
          <w:szCs w:val="26"/>
          <w:rtl/>
        </w:rPr>
        <w:t xml:space="preserve"> (1975), </w:t>
      </w:r>
      <w:r w:rsidRPr="009A4DA0">
        <w:rPr>
          <w:rFonts w:cs="David"/>
          <w:i/>
          <w:iCs/>
          <w:sz w:val="26"/>
          <w:szCs w:val="26"/>
          <w:rtl/>
        </w:rPr>
        <w:t>אקסיסטנציאליזם: המשך ומפנה בתולדות התרבות המערבית</w:t>
      </w:r>
      <w:r w:rsidRPr="00791F7A">
        <w:rPr>
          <w:rFonts w:cs="David"/>
          <w:sz w:val="26"/>
          <w:szCs w:val="26"/>
          <w:rtl/>
        </w:rPr>
        <w:t xml:space="preserve">, </w:t>
      </w:r>
      <w:r>
        <w:rPr>
          <w:rFonts w:cs="David" w:hint="cs"/>
          <w:sz w:val="26"/>
          <w:szCs w:val="26"/>
          <w:rtl/>
        </w:rPr>
        <w:t xml:space="preserve">ירושלים: </w:t>
      </w:r>
      <w:r w:rsidRPr="00791F7A">
        <w:rPr>
          <w:rFonts w:cs="David"/>
          <w:sz w:val="26"/>
          <w:szCs w:val="26"/>
          <w:rtl/>
        </w:rPr>
        <w:t>מוסד ביאליק, עמ' 38-81.</w:t>
      </w:r>
    </w:p>
    <w:p w:rsidR="004F692D" w:rsidRDefault="004F692D" w:rsidP="00C95C29">
      <w:pPr>
        <w:spacing w:line="360" w:lineRule="auto"/>
        <w:rPr>
          <w:rFonts w:cs="David"/>
          <w:b/>
          <w:bCs/>
          <w:sz w:val="26"/>
          <w:szCs w:val="26"/>
          <w:rtl/>
        </w:rPr>
      </w:pPr>
    </w:p>
    <w:p w:rsidR="00C95C29" w:rsidRDefault="004F692D" w:rsidP="004F692D">
      <w:pPr>
        <w:spacing w:line="360" w:lineRule="auto"/>
        <w:rPr>
          <w:rFonts w:cs="David"/>
          <w:b/>
          <w:bCs/>
          <w:sz w:val="26"/>
          <w:szCs w:val="26"/>
          <w:rtl/>
        </w:rPr>
      </w:pPr>
      <w:r>
        <w:rPr>
          <w:rFonts w:cs="David" w:hint="cs"/>
          <w:b/>
          <w:bCs/>
          <w:sz w:val="26"/>
          <w:szCs w:val="26"/>
        </w:rPr>
        <w:t>IV</w:t>
      </w:r>
      <w:r w:rsidR="003F0B84">
        <w:rPr>
          <w:rFonts w:cs="David" w:hint="cs"/>
          <w:b/>
          <w:bCs/>
          <w:sz w:val="26"/>
          <w:szCs w:val="26"/>
          <w:rtl/>
        </w:rPr>
        <w:t xml:space="preserve">. </w:t>
      </w:r>
      <w:r>
        <w:rPr>
          <w:rFonts w:cs="David" w:hint="cs"/>
          <w:b/>
          <w:bCs/>
          <w:sz w:val="26"/>
          <w:szCs w:val="26"/>
          <w:rtl/>
        </w:rPr>
        <w:t>חירות</w:t>
      </w:r>
      <w:r w:rsidR="00C95C29">
        <w:rPr>
          <w:rFonts w:cs="David" w:hint="cs"/>
          <w:b/>
          <w:bCs/>
          <w:sz w:val="26"/>
          <w:szCs w:val="26"/>
          <w:rtl/>
        </w:rPr>
        <w:t xml:space="preserve">: </w:t>
      </w:r>
      <w:proofErr w:type="spellStart"/>
      <w:r>
        <w:rPr>
          <w:rFonts w:cs="David" w:hint="cs"/>
          <w:b/>
          <w:bCs/>
          <w:sz w:val="26"/>
          <w:szCs w:val="26"/>
          <w:rtl/>
        </w:rPr>
        <w:t>פרומתאיות</w:t>
      </w:r>
      <w:proofErr w:type="spellEnd"/>
      <w:r>
        <w:rPr>
          <w:rFonts w:cs="David" w:hint="cs"/>
          <w:b/>
          <w:bCs/>
          <w:sz w:val="26"/>
          <w:szCs w:val="26"/>
          <w:rtl/>
        </w:rPr>
        <w:t xml:space="preserve"> מול סיזיפיות</w:t>
      </w:r>
      <w:r w:rsidR="00C95C29">
        <w:rPr>
          <w:rFonts w:cs="David" w:hint="cs"/>
          <w:b/>
          <w:bCs/>
          <w:sz w:val="26"/>
          <w:szCs w:val="26"/>
          <w:rtl/>
        </w:rPr>
        <w:t xml:space="preserve"> </w:t>
      </w:r>
      <w:r w:rsidR="00DA1A43">
        <w:rPr>
          <w:rFonts w:cs="David" w:hint="cs"/>
          <w:b/>
          <w:bCs/>
          <w:sz w:val="26"/>
          <w:szCs w:val="26"/>
          <w:rtl/>
        </w:rPr>
        <w:t xml:space="preserve">והאפשרות לרגולטיביות </w:t>
      </w:r>
      <w:r w:rsidR="00C95C29">
        <w:rPr>
          <w:rFonts w:cs="David" w:hint="cs"/>
          <w:b/>
          <w:bCs/>
          <w:sz w:val="26"/>
          <w:szCs w:val="26"/>
          <w:rtl/>
        </w:rPr>
        <w:t>- הרצאות מס' 10-12</w:t>
      </w:r>
      <w:r w:rsidR="00C95C29" w:rsidRPr="008F18DC">
        <w:rPr>
          <w:rFonts w:cs="David" w:hint="cs"/>
          <w:b/>
          <w:bCs/>
          <w:sz w:val="26"/>
          <w:szCs w:val="26"/>
          <w:rtl/>
        </w:rPr>
        <w:t xml:space="preserve"> </w:t>
      </w:r>
      <w:r w:rsidR="00C95C29" w:rsidRPr="005C3247">
        <w:rPr>
          <w:rFonts w:cs="David" w:hint="cs"/>
          <w:b/>
          <w:bCs/>
          <w:sz w:val="26"/>
          <w:szCs w:val="26"/>
          <w:rtl/>
        </w:rPr>
        <w:t>(</w:t>
      </w:r>
      <w:r w:rsidR="001A2664">
        <w:rPr>
          <w:rFonts w:cs="David" w:hint="cs"/>
          <w:b/>
          <w:bCs/>
          <w:sz w:val="26"/>
          <w:szCs w:val="26"/>
          <w:rtl/>
        </w:rPr>
        <w:t>26.1, 19.1</w:t>
      </w:r>
      <w:r w:rsidR="00C95C29">
        <w:rPr>
          <w:rFonts w:cs="David" w:hint="cs"/>
          <w:b/>
          <w:bCs/>
          <w:sz w:val="26"/>
          <w:szCs w:val="26"/>
          <w:rtl/>
        </w:rPr>
        <w:t xml:space="preserve">, </w:t>
      </w:r>
      <w:r w:rsidR="001A2664">
        <w:rPr>
          <w:rFonts w:cs="David" w:hint="cs"/>
          <w:b/>
          <w:bCs/>
          <w:sz w:val="26"/>
          <w:szCs w:val="26"/>
          <w:rtl/>
        </w:rPr>
        <w:t>12</w:t>
      </w:r>
      <w:r w:rsidR="00C95C29">
        <w:rPr>
          <w:rFonts w:cs="David" w:hint="cs"/>
          <w:b/>
          <w:bCs/>
          <w:sz w:val="26"/>
          <w:szCs w:val="26"/>
          <w:rtl/>
        </w:rPr>
        <w:t>.1</w:t>
      </w:r>
      <w:r w:rsidR="00C95C29" w:rsidRPr="005C3247">
        <w:rPr>
          <w:rFonts w:cs="David" w:hint="cs"/>
          <w:b/>
          <w:bCs/>
          <w:sz w:val="26"/>
          <w:szCs w:val="26"/>
          <w:rtl/>
        </w:rPr>
        <w:t>)</w:t>
      </w:r>
      <w:r w:rsidR="00C95C29" w:rsidRPr="008F18DC">
        <w:rPr>
          <w:rFonts w:cs="David" w:hint="cs"/>
          <w:b/>
          <w:bCs/>
          <w:sz w:val="26"/>
          <w:szCs w:val="26"/>
          <w:rtl/>
        </w:rPr>
        <w:t xml:space="preserve"> </w:t>
      </w:r>
    </w:p>
    <w:p w:rsidR="00C95C29" w:rsidRDefault="00C95C29" w:rsidP="00C95C29">
      <w:pPr>
        <w:spacing w:line="360" w:lineRule="auto"/>
        <w:rPr>
          <w:rFonts w:cs="David"/>
          <w:sz w:val="26"/>
          <w:szCs w:val="26"/>
          <w:rtl/>
        </w:rPr>
      </w:pPr>
      <w:r w:rsidRPr="008F18DC">
        <w:rPr>
          <w:rFonts w:cs="David" w:hint="cs"/>
          <w:sz w:val="26"/>
          <w:szCs w:val="26"/>
          <w:rtl/>
        </w:rPr>
        <w:t>מרקס</w:t>
      </w:r>
      <w:r>
        <w:rPr>
          <w:rFonts w:cs="David" w:hint="cs"/>
          <w:sz w:val="26"/>
          <w:szCs w:val="26"/>
          <w:rtl/>
        </w:rPr>
        <w:t>, ק.</w:t>
      </w:r>
      <w:r w:rsidRPr="008F18DC">
        <w:rPr>
          <w:rFonts w:cs="David" w:hint="cs"/>
          <w:sz w:val="26"/>
          <w:szCs w:val="26"/>
          <w:rtl/>
        </w:rPr>
        <w:t xml:space="preserve"> (1965) [1845/6],</w:t>
      </w:r>
      <w:r w:rsidRPr="008F18DC">
        <w:rPr>
          <w:rFonts w:cs="David"/>
          <w:sz w:val="26"/>
          <w:szCs w:val="26"/>
          <w:rtl/>
        </w:rPr>
        <w:t xml:space="preserve"> </w:t>
      </w:r>
      <w:r w:rsidRPr="008F18DC">
        <w:rPr>
          <w:rFonts w:cs="David" w:hint="cs"/>
          <w:sz w:val="26"/>
          <w:szCs w:val="26"/>
          <w:rtl/>
        </w:rPr>
        <w:t>"</w:t>
      </w:r>
      <w:r w:rsidRPr="008F18DC">
        <w:rPr>
          <w:rFonts w:cs="David"/>
          <w:sz w:val="26"/>
          <w:szCs w:val="26"/>
          <w:rtl/>
        </w:rPr>
        <w:t xml:space="preserve">האידיאולוגיה הגרמנית", בתוך </w:t>
      </w:r>
      <w:r w:rsidRPr="008F18DC">
        <w:rPr>
          <w:rFonts w:cs="David"/>
          <w:i/>
          <w:iCs/>
          <w:sz w:val="26"/>
          <w:szCs w:val="26"/>
          <w:rtl/>
        </w:rPr>
        <w:t>כתבי שחרות</w:t>
      </w:r>
      <w:r w:rsidRPr="008F18DC">
        <w:rPr>
          <w:rFonts w:cs="David"/>
          <w:sz w:val="26"/>
          <w:szCs w:val="26"/>
          <w:rtl/>
        </w:rPr>
        <w:t>,</w:t>
      </w:r>
      <w:r w:rsidRPr="008F18DC">
        <w:rPr>
          <w:rFonts w:cs="David" w:hint="cs"/>
          <w:sz w:val="26"/>
          <w:szCs w:val="26"/>
          <w:rtl/>
        </w:rPr>
        <w:t xml:space="preserve"> </w:t>
      </w:r>
      <w:r>
        <w:rPr>
          <w:rFonts w:cs="David" w:hint="cs"/>
          <w:sz w:val="26"/>
          <w:szCs w:val="26"/>
          <w:rtl/>
        </w:rPr>
        <w:t>ירושלים</w:t>
      </w:r>
      <w:r w:rsidRPr="008F18DC">
        <w:rPr>
          <w:rFonts w:cs="David" w:hint="cs"/>
          <w:sz w:val="26"/>
          <w:szCs w:val="26"/>
          <w:rtl/>
        </w:rPr>
        <w:t>: הוצאת הקיבוץ הארצי השומר הצעיר,</w:t>
      </w:r>
      <w:r w:rsidRPr="008F18DC">
        <w:rPr>
          <w:rFonts w:cs="David"/>
          <w:sz w:val="26"/>
          <w:szCs w:val="26"/>
          <w:rtl/>
        </w:rPr>
        <w:t xml:space="preserve"> עמ' 223-2</w:t>
      </w:r>
      <w:r w:rsidRPr="008F18DC">
        <w:rPr>
          <w:rFonts w:cs="David" w:hint="cs"/>
          <w:sz w:val="26"/>
          <w:szCs w:val="26"/>
          <w:rtl/>
        </w:rPr>
        <w:t>79.</w:t>
      </w:r>
      <w:r w:rsidRPr="008F18DC">
        <w:rPr>
          <w:rFonts w:cs="David"/>
          <w:sz w:val="26"/>
          <w:szCs w:val="26"/>
        </w:rPr>
        <w:br/>
      </w:r>
      <w:r w:rsidRPr="008F18DC">
        <w:rPr>
          <w:rFonts w:cs="David" w:hint="cs"/>
          <w:sz w:val="26"/>
          <w:szCs w:val="26"/>
          <w:rtl/>
        </w:rPr>
        <w:t xml:space="preserve">----, (1955) [1859], </w:t>
      </w:r>
      <w:r w:rsidRPr="008F18DC">
        <w:rPr>
          <w:rFonts w:cs="David"/>
          <w:sz w:val="26"/>
          <w:szCs w:val="26"/>
          <w:rtl/>
        </w:rPr>
        <w:t xml:space="preserve">"מבוא לביקורת הכלכלה המדינית" בתוך </w:t>
      </w:r>
      <w:r w:rsidRPr="008F18DC">
        <w:rPr>
          <w:rFonts w:cs="David"/>
          <w:i/>
          <w:iCs/>
          <w:sz w:val="26"/>
          <w:szCs w:val="26"/>
          <w:rtl/>
        </w:rPr>
        <w:t>כתבים נבחרים</w:t>
      </w:r>
      <w:r w:rsidRPr="008F18DC">
        <w:rPr>
          <w:rFonts w:cs="David"/>
          <w:sz w:val="26"/>
          <w:szCs w:val="26"/>
          <w:rtl/>
        </w:rPr>
        <w:t xml:space="preserve"> א'</w:t>
      </w:r>
      <w:r w:rsidRPr="008F18DC">
        <w:rPr>
          <w:rFonts w:cs="David" w:hint="cs"/>
          <w:sz w:val="26"/>
          <w:szCs w:val="26"/>
          <w:rtl/>
        </w:rPr>
        <w:t>,</w:t>
      </w:r>
      <w:r w:rsidRPr="008F18DC">
        <w:rPr>
          <w:rFonts w:cs="David"/>
          <w:sz w:val="26"/>
          <w:szCs w:val="26"/>
          <w:rtl/>
        </w:rPr>
        <w:t xml:space="preserve"> עמ' </w:t>
      </w:r>
      <w:r w:rsidRPr="008F18DC">
        <w:rPr>
          <w:rFonts w:cs="David" w:hint="cs"/>
          <w:sz w:val="26"/>
          <w:szCs w:val="26"/>
          <w:rtl/>
        </w:rPr>
        <w:t>252-255</w:t>
      </w:r>
      <w:r>
        <w:rPr>
          <w:rFonts w:cs="David" w:hint="cs"/>
          <w:sz w:val="26"/>
          <w:szCs w:val="26"/>
          <w:rtl/>
        </w:rPr>
        <w:t>.</w:t>
      </w:r>
    </w:p>
    <w:p w:rsidR="00C95C29" w:rsidRDefault="00C95C29" w:rsidP="00C95C29">
      <w:pPr>
        <w:spacing w:line="360" w:lineRule="auto"/>
        <w:rPr>
          <w:rFonts w:cs="David"/>
          <w:sz w:val="26"/>
          <w:szCs w:val="26"/>
          <w:rtl/>
        </w:rPr>
      </w:pPr>
      <w:r w:rsidRPr="00EF22AF">
        <w:rPr>
          <w:rFonts w:cs="David" w:hint="cs"/>
          <w:sz w:val="26"/>
          <w:szCs w:val="26"/>
          <w:rtl/>
        </w:rPr>
        <w:t xml:space="preserve">פוקו, מ. (2015), </w:t>
      </w:r>
      <w:r w:rsidRPr="00EF22AF">
        <w:rPr>
          <w:rFonts w:cs="David" w:hint="cs"/>
          <w:i/>
          <w:iCs/>
          <w:sz w:val="26"/>
          <w:szCs w:val="26"/>
          <w:rtl/>
        </w:rPr>
        <w:t>לפקח ולהעניש: הולדת בית הסוהר</w:t>
      </w:r>
      <w:r w:rsidRPr="00EF22AF">
        <w:rPr>
          <w:rFonts w:cs="David" w:hint="cs"/>
          <w:sz w:val="26"/>
          <w:szCs w:val="26"/>
          <w:rtl/>
        </w:rPr>
        <w:t>, תל אביב: רסלינג, עמ' 9-41.</w:t>
      </w:r>
    </w:p>
    <w:p w:rsidR="00DA1A43" w:rsidRDefault="00DA1A43" w:rsidP="00DA1A43">
      <w:pPr>
        <w:spacing w:line="360" w:lineRule="auto"/>
        <w:rPr>
          <w:rFonts w:cs="David"/>
          <w:sz w:val="26"/>
          <w:szCs w:val="26"/>
          <w:rtl/>
        </w:rPr>
      </w:pPr>
      <w:r w:rsidRPr="008F18DC">
        <w:rPr>
          <w:rFonts w:cs="David" w:hint="cs"/>
          <w:sz w:val="26"/>
          <w:szCs w:val="26"/>
          <w:rtl/>
        </w:rPr>
        <w:lastRenderedPageBreak/>
        <w:t>קאנט</w:t>
      </w:r>
      <w:r>
        <w:rPr>
          <w:rFonts w:cs="David" w:hint="cs"/>
          <w:sz w:val="26"/>
          <w:szCs w:val="26"/>
          <w:rtl/>
        </w:rPr>
        <w:t>, ע.</w:t>
      </w:r>
      <w:r w:rsidRPr="008F18DC">
        <w:rPr>
          <w:rFonts w:cs="David" w:hint="cs"/>
          <w:sz w:val="26"/>
          <w:szCs w:val="26"/>
          <w:rtl/>
        </w:rPr>
        <w:t xml:space="preserve"> (2009) [1784], "</w:t>
      </w:r>
      <w:r>
        <w:rPr>
          <w:rFonts w:cs="David" w:hint="cs"/>
          <w:sz w:val="26"/>
          <w:szCs w:val="26"/>
          <w:rtl/>
        </w:rPr>
        <w:t>אידיאה להיסטוריה אוניברסלית מנקודת מבט קוסמופוליטית", ת"א: רסלינג</w:t>
      </w:r>
      <w:r w:rsidRPr="008F18DC">
        <w:rPr>
          <w:rFonts w:cs="David" w:hint="cs"/>
          <w:sz w:val="26"/>
          <w:szCs w:val="26"/>
          <w:rtl/>
        </w:rPr>
        <w:t>, עמ'</w:t>
      </w:r>
      <w:r>
        <w:rPr>
          <w:rFonts w:cs="David" w:hint="cs"/>
          <w:sz w:val="26"/>
          <w:szCs w:val="26"/>
          <w:rtl/>
        </w:rPr>
        <w:t xml:space="preserve"> 18-33.</w:t>
      </w:r>
    </w:p>
    <w:p w:rsidR="00C95C29" w:rsidRDefault="00C95C29" w:rsidP="00DA1A43">
      <w:pPr>
        <w:spacing w:line="360" w:lineRule="auto"/>
        <w:rPr>
          <w:rFonts w:cs="David"/>
          <w:sz w:val="26"/>
          <w:szCs w:val="26"/>
          <w:rtl/>
        </w:rPr>
      </w:pPr>
      <w:r>
        <w:rPr>
          <w:rFonts w:cs="David" w:hint="cs"/>
          <w:sz w:val="26"/>
          <w:szCs w:val="26"/>
          <w:rtl/>
        </w:rPr>
        <w:t>*</w:t>
      </w:r>
      <w:r w:rsidRPr="008F18DC">
        <w:rPr>
          <w:rFonts w:cs="David" w:hint="cs"/>
          <w:sz w:val="26"/>
          <w:szCs w:val="26"/>
          <w:rtl/>
        </w:rPr>
        <w:t>אבינרי</w:t>
      </w:r>
      <w:r>
        <w:rPr>
          <w:rFonts w:cs="David" w:hint="cs"/>
          <w:sz w:val="26"/>
          <w:szCs w:val="26"/>
          <w:rtl/>
        </w:rPr>
        <w:t>, ש.</w:t>
      </w:r>
      <w:r w:rsidRPr="008F18DC">
        <w:rPr>
          <w:rFonts w:cs="David" w:hint="cs"/>
          <w:sz w:val="26"/>
          <w:szCs w:val="26"/>
          <w:rtl/>
        </w:rPr>
        <w:t xml:space="preserve"> (1986), </w:t>
      </w:r>
      <w:r w:rsidRPr="008F18DC">
        <w:rPr>
          <w:rFonts w:cs="David" w:hint="cs"/>
          <w:i/>
          <w:iCs/>
          <w:sz w:val="26"/>
          <w:szCs w:val="26"/>
          <w:rtl/>
        </w:rPr>
        <w:t>משנתו החברתית והמדינית של קארל מארקס</w:t>
      </w:r>
      <w:r w:rsidRPr="008F18DC">
        <w:rPr>
          <w:rFonts w:cs="David" w:hint="cs"/>
          <w:sz w:val="26"/>
          <w:szCs w:val="26"/>
          <w:rtl/>
        </w:rPr>
        <w:t>, הקיבוץ המאוחד, עמ' 74-99.</w:t>
      </w:r>
    </w:p>
    <w:p w:rsidR="00C95C29" w:rsidRPr="00EF22AF" w:rsidRDefault="00C95C29" w:rsidP="00C95C29">
      <w:pPr>
        <w:spacing w:line="360" w:lineRule="auto"/>
        <w:rPr>
          <w:rFonts w:cs="David"/>
          <w:sz w:val="26"/>
          <w:szCs w:val="26"/>
          <w:rtl/>
        </w:rPr>
      </w:pPr>
      <w:r w:rsidRPr="00EF22AF">
        <w:rPr>
          <w:rFonts w:cs="David" w:hint="cs"/>
          <w:sz w:val="26"/>
          <w:szCs w:val="26"/>
          <w:rtl/>
        </w:rPr>
        <w:t>*</w:t>
      </w:r>
      <w:r w:rsidRPr="00EF22AF">
        <w:rPr>
          <w:rFonts w:cs="David"/>
          <w:sz w:val="26"/>
          <w:szCs w:val="26"/>
          <w:rtl/>
        </w:rPr>
        <w:t>ארבל</w:t>
      </w:r>
      <w:r w:rsidRPr="00EF22AF">
        <w:rPr>
          <w:rFonts w:cs="David" w:hint="cs"/>
          <w:sz w:val="26"/>
          <w:szCs w:val="26"/>
          <w:rtl/>
        </w:rPr>
        <w:t xml:space="preserve">, א. (2006), </w:t>
      </w:r>
      <w:r w:rsidRPr="00EF22AF">
        <w:rPr>
          <w:rFonts w:cs="David"/>
          <w:i/>
          <w:iCs/>
          <w:sz w:val="26"/>
          <w:szCs w:val="26"/>
          <w:rtl/>
        </w:rPr>
        <w:t>פוקו וההומניזם</w:t>
      </w:r>
      <w:r w:rsidRPr="00EF22AF">
        <w:rPr>
          <w:rFonts w:cs="David" w:hint="cs"/>
          <w:sz w:val="26"/>
          <w:szCs w:val="26"/>
          <w:rtl/>
        </w:rPr>
        <w:t>, תל אביב: דביר.</w:t>
      </w:r>
    </w:p>
    <w:p w:rsidR="00C95C29" w:rsidRDefault="00C95C29" w:rsidP="00C95C29">
      <w:pPr>
        <w:spacing w:line="360" w:lineRule="auto"/>
        <w:rPr>
          <w:rFonts w:cs="David"/>
          <w:sz w:val="26"/>
          <w:szCs w:val="26"/>
          <w:rtl/>
        </w:rPr>
      </w:pPr>
      <w:r w:rsidRPr="00EF22AF">
        <w:rPr>
          <w:rFonts w:cs="David" w:hint="cs"/>
          <w:sz w:val="26"/>
          <w:szCs w:val="26"/>
          <w:rtl/>
        </w:rPr>
        <w:t xml:space="preserve">*מילס, ש. (2005), </w:t>
      </w:r>
      <w:r w:rsidRPr="00EF22AF">
        <w:rPr>
          <w:rFonts w:cs="David" w:hint="cs"/>
          <w:i/>
          <w:iCs/>
          <w:sz w:val="26"/>
          <w:szCs w:val="26"/>
          <w:rtl/>
        </w:rPr>
        <w:t>מישל פוקו</w:t>
      </w:r>
      <w:r w:rsidRPr="00EF22AF">
        <w:rPr>
          <w:rFonts w:cs="David" w:hint="cs"/>
          <w:sz w:val="26"/>
          <w:szCs w:val="26"/>
          <w:rtl/>
        </w:rPr>
        <w:t>, תל אביב: רסלינג.</w:t>
      </w:r>
    </w:p>
    <w:sectPr w:rsidR="00C95C29" w:rsidSect="003C3A73">
      <w:pgSz w:w="11906" w:h="16838"/>
      <w:pgMar w:top="1134" w:right="1134" w:bottom="1134" w:left="1134" w:header="709" w:footer="709"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David">
    <w:panose1 w:val="020E05020604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0B84"/>
    <w:rsid w:val="001A2664"/>
    <w:rsid w:val="002E5DE5"/>
    <w:rsid w:val="003F0B84"/>
    <w:rsid w:val="004C7BFB"/>
    <w:rsid w:val="004F692D"/>
    <w:rsid w:val="006753D6"/>
    <w:rsid w:val="00764490"/>
    <w:rsid w:val="007E1CDD"/>
    <w:rsid w:val="00B43D5D"/>
    <w:rsid w:val="00C95C29"/>
    <w:rsid w:val="00DA1A43"/>
    <w:rsid w:val="00DA7F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9C402B"/>
  <w15:chartTrackingRefBased/>
  <w15:docId w15:val="{588BCEC3-FD36-444A-95FA-BEA53C995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F0B84"/>
    <w:pPr>
      <w:bidi/>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Hyperlink">
    <w:name w:val="Hyperlink"/>
    <w:basedOn w:val="a0"/>
    <w:uiPriority w:val="99"/>
    <w:semiHidden/>
    <w:unhideWhenUsed/>
    <w:rsid w:val="003F0B84"/>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159</TotalTime>
  <Pages>3</Pages>
  <Words>768</Words>
  <Characters>3842</Characters>
  <Application>Microsoft Office Word</Application>
  <DocSecurity>0</DocSecurity>
  <Lines>32</Lines>
  <Paragraphs>9</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4601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2019-09-09T07:52:00Z</dcterms:created>
  <dcterms:modified xsi:type="dcterms:W3CDTF">2019-10-22T15:41:00Z</dcterms:modified>
</cp:coreProperties>
</file>