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F6" w:rsidRDefault="00E618F6" w:rsidP="006E205F">
      <w:pPr>
        <w:spacing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אוניברסיטת ת"א</w:t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  <w:t xml:space="preserve">                סמסטר ב' תש"פ הפקולטה למדעי החברה</w:t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  <w:t xml:space="preserve">                     1031.1400.0</w:t>
      </w:r>
      <w:r w:rsidR="006E205F">
        <w:rPr>
          <w:rFonts w:cs="David" w:hint="cs"/>
          <w:sz w:val="26"/>
          <w:szCs w:val="26"/>
          <w:rtl/>
        </w:rPr>
        <w:t>5</w:t>
      </w:r>
      <w:r>
        <w:rPr>
          <w:rFonts w:cs="David" w:hint="cs"/>
          <w:sz w:val="26"/>
          <w:szCs w:val="26"/>
          <w:rtl/>
        </w:rPr>
        <w:t xml:space="preserve"> בית הספר למדע המדינה, לממשל ויחב"ל</w:t>
      </w:r>
    </w:p>
    <w:p w:rsidR="00E618F6" w:rsidRDefault="00E618F6" w:rsidP="00E618F6">
      <w:pPr>
        <w:spacing w:line="240" w:lineRule="auto"/>
        <w:rPr>
          <w:rFonts w:cs="David"/>
          <w:sz w:val="26"/>
          <w:szCs w:val="26"/>
          <w:rtl/>
        </w:rPr>
      </w:pPr>
    </w:p>
    <w:p w:rsidR="00E618F6" w:rsidRPr="00985DD0" w:rsidRDefault="00E618F6" w:rsidP="00E618F6">
      <w:pPr>
        <w:spacing w:line="240" w:lineRule="auto"/>
        <w:jc w:val="center"/>
        <w:rPr>
          <w:rFonts w:cs="David"/>
          <w:b/>
          <w:bCs/>
          <w:sz w:val="36"/>
          <w:szCs w:val="36"/>
          <w:rtl/>
        </w:rPr>
      </w:pPr>
      <w:r w:rsidRPr="00985DD0">
        <w:rPr>
          <w:rFonts w:cs="David" w:hint="cs"/>
          <w:b/>
          <w:bCs/>
          <w:sz w:val="36"/>
          <w:szCs w:val="36"/>
          <w:rtl/>
        </w:rPr>
        <w:t>מבוא למחשבה פוליטית</w:t>
      </w:r>
    </w:p>
    <w:p w:rsidR="00E618F6" w:rsidRDefault="00E618F6" w:rsidP="00E618F6">
      <w:pPr>
        <w:spacing w:line="240" w:lineRule="auto"/>
        <w:jc w:val="center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 ד"ר גולן להט</w:t>
      </w:r>
    </w:p>
    <w:p w:rsidR="00E618F6" w:rsidRDefault="00E618F6" w:rsidP="00E618F6">
      <w:pPr>
        <w:spacing w:line="240" w:lineRule="auto"/>
        <w:jc w:val="both"/>
        <w:rPr>
          <w:rFonts w:cs="David"/>
          <w:sz w:val="26"/>
          <w:szCs w:val="26"/>
          <w:rtl/>
        </w:rPr>
      </w:pPr>
    </w:p>
    <w:p w:rsidR="00E618F6" w:rsidRPr="00B55313" w:rsidRDefault="00E618F6" w:rsidP="00E618F6">
      <w:pPr>
        <w:spacing w:line="240" w:lineRule="auto"/>
        <w:jc w:val="both"/>
        <w:rPr>
          <w:rFonts w:cs="David"/>
          <w:sz w:val="26"/>
          <w:szCs w:val="26"/>
          <w:rtl/>
        </w:rPr>
      </w:pPr>
      <w:r w:rsidRPr="00985DD0">
        <w:rPr>
          <w:rFonts w:cs="David" w:hint="cs"/>
          <w:b/>
          <w:bCs/>
          <w:sz w:val="26"/>
          <w:szCs w:val="26"/>
          <w:rtl/>
        </w:rPr>
        <w:t>שעת קבלה</w:t>
      </w:r>
      <w:r w:rsidRPr="00B55313">
        <w:rPr>
          <w:rFonts w:cs="David" w:hint="cs"/>
          <w:sz w:val="26"/>
          <w:szCs w:val="26"/>
          <w:rtl/>
        </w:rPr>
        <w:t xml:space="preserve">: יום </w:t>
      </w:r>
      <w:r>
        <w:rPr>
          <w:rFonts w:cs="David" w:hint="cs"/>
          <w:sz w:val="26"/>
          <w:szCs w:val="26"/>
          <w:rtl/>
        </w:rPr>
        <w:t>ב'</w:t>
      </w:r>
      <w:r w:rsidRPr="00B55313">
        <w:rPr>
          <w:rFonts w:cs="David" w:hint="cs"/>
          <w:sz w:val="26"/>
          <w:szCs w:val="26"/>
          <w:rtl/>
        </w:rPr>
        <w:t xml:space="preserve">, </w:t>
      </w:r>
      <w:r>
        <w:rPr>
          <w:rFonts w:cs="David" w:hint="cs"/>
          <w:sz w:val="26"/>
          <w:szCs w:val="26"/>
          <w:rtl/>
        </w:rPr>
        <w:t>לפני או אחרי השיעור</w:t>
      </w:r>
      <w:r w:rsidRPr="00B55313">
        <w:rPr>
          <w:rFonts w:cs="David" w:hint="cs"/>
          <w:sz w:val="26"/>
          <w:szCs w:val="26"/>
          <w:rtl/>
        </w:rPr>
        <w:t>, חדר 5</w:t>
      </w:r>
      <w:r>
        <w:rPr>
          <w:rFonts w:cs="David" w:hint="cs"/>
          <w:sz w:val="26"/>
          <w:szCs w:val="26"/>
          <w:rtl/>
        </w:rPr>
        <w:t>26</w:t>
      </w:r>
      <w:r w:rsidRPr="00B55313">
        <w:rPr>
          <w:rFonts w:cs="David" w:hint="cs"/>
          <w:sz w:val="26"/>
          <w:szCs w:val="26"/>
          <w:rtl/>
        </w:rPr>
        <w:t xml:space="preserve"> (</w:t>
      </w:r>
      <w:r w:rsidRPr="00961D81">
        <w:rPr>
          <w:rFonts w:cs="David" w:hint="cs"/>
          <w:b/>
          <w:bCs/>
          <w:sz w:val="26"/>
          <w:szCs w:val="26"/>
          <w:rtl/>
        </w:rPr>
        <w:t>בתיאום מראש</w:t>
      </w:r>
      <w:r>
        <w:rPr>
          <w:rFonts w:cs="David" w:hint="cs"/>
          <w:sz w:val="26"/>
          <w:szCs w:val="26"/>
          <w:rtl/>
        </w:rPr>
        <w:t>)</w:t>
      </w:r>
    </w:p>
    <w:p w:rsidR="00E618F6" w:rsidRPr="00B55313" w:rsidRDefault="00E618F6" w:rsidP="00E618F6">
      <w:pPr>
        <w:spacing w:line="240" w:lineRule="auto"/>
        <w:jc w:val="both"/>
        <w:rPr>
          <w:rFonts w:cs="David"/>
          <w:sz w:val="26"/>
          <w:szCs w:val="26"/>
          <w:rtl/>
        </w:rPr>
      </w:pPr>
      <w:r w:rsidRPr="00985DD0">
        <w:rPr>
          <w:rFonts w:cs="David" w:hint="cs"/>
          <w:b/>
          <w:bCs/>
          <w:sz w:val="26"/>
          <w:szCs w:val="26"/>
          <w:rtl/>
        </w:rPr>
        <w:t>ד.א.</w:t>
      </w:r>
      <w:r w:rsidRPr="00B55313">
        <w:rPr>
          <w:rFonts w:cs="David" w:hint="cs"/>
          <w:sz w:val="26"/>
          <w:szCs w:val="26"/>
          <w:rtl/>
        </w:rPr>
        <w:t xml:space="preserve">: </w:t>
      </w:r>
      <w:hyperlink r:id="rId5" w:history="1">
        <w:r w:rsidRPr="00144237">
          <w:rPr>
            <w:rStyle w:val="Hyperlink"/>
            <w:rFonts w:cs="David"/>
            <w:color w:val="auto"/>
            <w:sz w:val="26"/>
            <w:szCs w:val="26"/>
          </w:rPr>
          <w:t>golanb@surfree.net.il</w:t>
        </w:r>
      </w:hyperlink>
    </w:p>
    <w:p w:rsidR="00E618F6" w:rsidRPr="00AD2AD0" w:rsidRDefault="00E618F6" w:rsidP="00E618F6">
      <w:pPr>
        <w:tabs>
          <w:tab w:val="left" w:pos="1540"/>
        </w:tabs>
        <w:spacing w:line="240" w:lineRule="auto"/>
        <w:jc w:val="both"/>
        <w:rPr>
          <w:rFonts w:cs="David"/>
          <w:b/>
          <w:bCs/>
          <w:i/>
          <w:iCs/>
          <w:sz w:val="26"/>
          <w:szCs w:val="26"/>
          <w:rtl/>
        </w:rPr>
      </w:pPr>
      <w:r w:rsidRPr="00AD2AD0">
        <w:rPr>
          <w:rFonts w:cs="David"/>
          <w:b/>
          <w:bCs/>
          <w:i/>
          <w:iCs/>
          <w:sz w:val="26"/>
          <w:szCs w:val="26"/>
          <w:rtl/>
        </w:rPr>
        <w:tab/>
      </w:r>
    </w:p>
    <w:p w:rsidR="00E618F6" w:rsidRPr="00CD7A70" w:rsidRDefault="00E618F6" w:rsidP="00E618F6">
      <w:pPr>
        <w:spacing w:line="240" w:lineRule="auto"/>
        <w:rPr>
          <w:rFonts w:ascii="David" w:hAnsi="David" w:cs="David"/>
          <w:sz w:val="26"/>
          <w:szCs w:val="26"/>
        </w:rPr>
      </w:pPr>
      <w:r w:rsidRPr="00CD7A70">
        <w:rPr>
          <w:rFonts w:cs="David" w:hint="cs"/>
          <w:b/>
          <w:bCs/>
          <w:sz w:val="26"/>
          <w:szCs w:val="26"/>
          <w:rtl/>
        </w:rPr>
        <w:t xml:space="preserve">מתרגלים </w:t>
      </w:r>
      <w:r w:rsidRPr="00CD7A70">
        <w:rPr>
          <w:rFonts w:cs="David" w:hint="cs"/>
          <w:sz w:val="26"/>
          <w:szCs w:val="26"/>
          <w:rtl/>
        </w:rPr>
        <w:t>(מייל ושעת קבלה</w:t>
      </w:r>
      <w:r w:rsidRPr="00CD7A70">
        <w:rPr>
          <w:rFonts w:cs="David"/>
          <w:sz w:val="26"/>
          <w:szCs w:val="26"/>
          <w:rtl/>
        </w:rPr>
        <w:t xml:space="preserve">):                                                        </w:t>
      </w:r>
    </w:p>
    <w:p w:rsidR="00E618F6" w:rsidRPr="00CD7A70" w:rsidRDefault="00E618F6" w:rsidP="00E618F6">
      <w:pPr>
        <w:spacing w:line="240" w:lineRule="auto"/>
        <w:jc w:val="both"/>
        <w:rPr>
          <w:rFonts w:cs="David"/>
          <w:sz w:val="26"/>
          <w:szCs w:val="26"/>
          <w:rtl/>
        </w:rPr>
      </w:pPr>
      <w:r w:rsidRPr="00CD7A70">
        <w:rPr>
          <w:rFonts w:cs="David" w:hint="cs"/>
          <w:sz w:val="26"/>
          <w:szCs w:val="26"/>
          <w:rtl/>
        </w:rPr>
        <w:t xml:space="preserve">נחשון </w:t>
      </w:r>
      <w:hyperlink r:id="rId6" w:history="1">
        <w:r w:rsidRPr="00BD54E1">
          <w:rPr>
            <w:rStyle w:val="Hyperlink"/>
            <w:rFonts w:cs="David" w:hint="cs"/>
            <w:color w:val="auto"/>
            <w:sz w:val="26"/>
            <w:szCs w:val="26"/>
            <w:u w:val="none"/>
            <w:rtl/>
          </w:rPr>
          <w:t>אלוני</w:t>
        </w:r>
        <w:r w:rsidRPr="00E67B2E">
          <w:rPr>
            <w:rStyle w:val="Hyperlink"/>
          </w:rPr>
          <w:t>aloni.nahshon@gmail.com</w:t>
        </w:r>
      </w:hyperlink>
      <w:r>
        <w:t xml:space="preserve"> </w:t>
      </w:r>
      <w:r w:rsidRPr="00CD7A70">
        <w:rPr>
          <w:rFonts w:cs="David" w:hint="cs"/>
          <w:sz w:val="26"/>
          <w:szCs w:val="26"/>
          <w:rtl/>
        </w:rPr>
        <w:t>, יום ב' לפני השיעור</w:t>
      </w:r>
    </w:p>
    <w:p w:rsidR="00E618F6" w:rsidRPr="00CD7A70" w:rsidRDefault="00E618F6" w:rsidP="00E618F6">
      <w:pPr>
        <w:spacing w:line="240" w:lineRule="auto"/>
        <w:jc w:val="both"/>
        <w:rPr>
          <w:rFonts w:cs="David"/>
          <w:sz w:val="26"/>
          <w:szCs w:val="26"/>
          <w:rtl/>
        </w:rPr>
      </w:pPr>
      <w:r w:rsidRPr="00CD7A70">
        <w:rPr>
          <w:rFonts w:cs="David" w:hint="cs"/>
          <w:sz w:val="26"/>
          <w:szCs w:val="26"/>
          <w:rtl/>
        </w:rPr>
        <w:t>מיכל רותם</w:t>
      </w:r>
      <w:r>
        <w:rPr>
          <w:rFonts w:cs="David" w:hint="cs"/>
          <w:sz w:val="26"/>
          <w:szCs w:val="26"/>
          <w:rtl/>
        </w:rPr>
        <w:t xml:space="preserve"> </w:t>
      </w:r>
      <w:r w:rsidRPr="00CD7A70">
        <w:t xml:space="preserve"> </w:t>
      </w:r>
      <w:hyperlink r:id="rId7" w:history="1">
        <w:r w:rsidR="0031135E" w:rsidRPr="00A110B0">
          <w:rPr>
            <w:rStyle w:val="Hyperlink"/>
          </w:rPr>
          <w:t>michalrotem@mail.tau.ac.il</w:t>
        </w:r>
      </w:hyperlink>
      <w:r w:rsidR="0031135E">
        <w:t xml:space="preserve"> </w:t>
      </w:r>
      <w:r w:rsidR="0031135E" w:rsidRPr="00BD54E1">
        <w:rPr>
          <w:rFonts w:ascii="David" w:hAnsi="David" w:cs="David"/>
          <w:sz w:val="26"/>
          <w:szCs w:val="26"/>
          <w:rtl/>
        </w:rPr>
        <w:t>יום ב', לפני השיעור (בתיאום מראש)</w:t>
      </w:r>
    </w:p>
    <w:p w:rsidR="00E618F6" w:rsidRDefault="00E618F6" w:rsidP="00E618F6">
      <w:pPr>
        <w:spacing w:line="276" w:lineRule="auto"/>
        <w:jc w:val="both"/>
        <w:rPr>
          <w:rFonts w:cs="David"/>
          <w:b/>
          <w:bCs/>
          <w:sz w:val="26"/>
          <w:szCs w:val="26"/>
          <w:rtl/>
        </w:rPr>
      </w:pPr>
    </w:p>
    <w:p w:rsidR="00E618F6" w:rsidRPr="00057DF6" w:rsidRDefault="00E618F6" w:rsidP="00E618F6">
      <w:pPr>
        <w:spacing w:line="276" w:lineRule="auto"/>
        <w:jc w:val="both"/>
        <w:rPr>
          <w:rFonts w:cs="David"/>
          <w:color w:val="000000"/>
          <w:sz w:val="26"/>
          <w:szCs w:val="26"/>
          <w:rtl/>
        </w:rPr>
      </w:pPr>
      <w:r w:rsidRPr="00985DD0">
        <w:rPr>
          <w:rFonts w:cs="David" w:hint="cs"/>
          <w:b/>
          <w:bCs/>
          <w:sz w:val="26"/>
          <w:szCs w:val="26"/>
          <w:rtl/>
        </w:rPr>
        <w:t>תוכן הקורס:</w:t>
      </w:r>
      <w:r>
        <w:rPr>
          <w:rFonts w:cs="David" w:hint="cs"/>
          <w:sz w:val="26"/>
          <w:szCs w:val="26"/>
          <w:rtl/>
        </w:rPr>
        <w:t xml:space="preserve"> </w:t>
      </w:r>
      <w:r w:rsidRPr="00207552">
        <w:rPr>
          <w:rFonts w:cs="David" w:hint="cs"/>
          <w:color w:val="000000"/>
          <w:sz w:val="26"/>
          <w:szCs w:val="26"/>
          <w:rtl/>
        </w:rPr>
        <w:t xml:space="preserve">הקורס יסקור באמצעות מקורות ראשוניים את התפתחות המחשבה הפוליטית במערב החל מיוון הקלאסית במאה החמישית לפנה"ס ועד תחילת </w:t>
      </w:r>
      <w:r>
        <w:rPr>
          <w:rFonts w:cs="David" w:hint="cs"/>
          <w:color w:val="000000"/>
          <w:sz w:val="26"/>
          <w:szCs w:val="26"/>
          <w:rtl/>
        </w:rPr>
        <w:t>העידן המודרני</w:t>
      </w:r>
      <w:r w:rsidRPr="00207552">
        <w:rPr>
          <w:rFonts w:cs="David" w:hint="cs"/>
          <w:color w:val="000000"/>
          <w:sz w:val="26"/>
          <w:szCs w:val="26"/>
          <w:rtl/>
        </w:rPr>
        <w:t>. מטרת הקורס היא להקנות היכרות עם הטיעונים הפילוס</w:t>
      </w:r>
      <w:r>
        <w:rPr>
          <w:rFonts w:cs="David" w:hint="cs"/>
          <w:color w:val="000000"/>
          <w:sz w:val="26"/>
          <w:szCs w:val="26"/>
          <w:rtl/>
        </w:rPr>
        <w:t>ופיים המרכזיים בנוגע למקורות הלגיטימציה של העוצמה הפוליטית, המבנה המיטבי של המדינה, עקרונות</w:t>
      </w:r>
      <w:r w:rsidRPr="00207552">
        <w:rPr>
          <w:rFonts w:cs="David" w:hint="cs"/>
          <w:color w:val="000000"/>
          <w:sz w:val="26"/>
          <w:szCs w:val="26"/>
          <w:rtl/>
        </w:rPr>
        <w:t xml:space="preserve"> </w:t>
      </w:r>
      <w:r>
        <w:rPr>
          <w:rFonts w:cs="David" w:hint="cs"/>
          <w:color w:val="000000"/>
          <w:sz w:val="26"/>
          <w:szCs w:val="26"/>
          <w:rtl/>
        </w:rPr>
        <w:t>ה</w:t>
      </w:r>
      <w:r w:rsidRPr="00207552">
        <w:rPr>
          <w:rFonts w:cs="David" w:hint="cs"/>
          <w:color w:val="000000"/>
          <w:sz w:val="26"/>
          <w:szCs w:val="26"/>
          <w:rtl/>
        </w:rPr>
        <w:t>צדק</w:t>
      </w:r>
      <w:r>
        <w:rPr>
          <w:rFonts w:cs="David" w:hint="cs"/>
          <w:color w:val="000000"/>
          <w:sz w:val="26"/>
          <w:szCs w:val="26"/>
          <w:rtl/>
        </w:rPr>
        <w:t xml:space="preserve"> המבוקשים להתנהלות במסגרתה והיכולת לגזור אותם ממושגים מופשטים כגון</w:t>
      </w:r>
      <w:r w:rsidRPr="00207552">
        <w:rPr>
          <w:rFonts w:cs="David" w:hint="cs"/>
          <w:color w:val="000000"/>
          <w:sz w:val="26"/>
          <w:szCs w:val="26"/>
          <w:rtl/>
        </w:rPr>
        <w:t xml:space="preserve"> זכויות </w:t>
      </w:r>
      <w:r>
        <w:rPr>
          <w:rFonts w:cs="David" w:hint="cs"/>
          <w:color w:val="000000"/>
          <w:sz w:val="26"/>
          <w:szCs w:val="26"/>
          <w:rtl/>
        </w:rPr>
        <w:t xml:space="preserve">טבעיות. </w:t>
      </w:r>
    </w:p>
    <w:p w:rsidR="00E618F6" w:rsidRDefault="00E618F6" w:rsidP="00E618F6">
      <w:pPr>
        <w:spacing w:line="276" w:lineRule="auto"/>
        <w:jc w:val="both"/>
        <w:rPr>
          <w:rFonts w:cs="David"/>
          <w:sz w:val="26"/>
          <w:szCs w:val="26"/>
          <w:rtl/>
        </w:rPr>
      </w:pPr>
      <w:r w:rsidRPr="00985DD0">
        <w:rPr>
          <w:rFonts w:cs="David" w:hint="cs"/>
          <w:b/>
          <w:bCs/>
          <w:sz w:val="26"/>
          <w:szCs w:val="26"/>
          <w:rtl/>
        </w:rPr>
        <w:t xml:space="preserve">הציון הסופי </w:t>
      </w:r>
      <w:r>
        <w:rPr>
          <w:rFonts w:cs="David" w:hint="cs"/>
          <w:sz w:val="26"/>
          <w:szCs w:val="26"/>
          <w:rtl/>
        </w:rPr>
        <w:t>יהווה שקלול המרכיבים הבאים:</w:t>
      </w:r>
    </w:p>
    <w:p w:rsidR="00E618F6" w:rsidRDefault="00E618F6" w:rsidP="00E618F6">
      <w:pPr>
        <w:numPr>
          <w:ilvl w:val="0"/>
          <w:numId w:val="1"/>
        </w:numPr>
        <w:spacing w:after="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חובת נוכחות וקריאת החומר הנלמד. החל מהיעדרות שלישית </w:t>
      </w:r>
      <w:r w:rsidRPr="00BE1DE8">
        <w:rPr>
          <w:rFonts w:cs="David" w:hint="cs"/>
          <w:b/>
          <w:bCs/>
          <w:sz w:val="26"/>
          <w:szCs w:val="26"/>
          <w:rtl/>
        </w:rPr>
        <w:t>תורד נקודה עבור כל חיסור</w:t>
      </w:r>
      <w:r>
        <w:rPr>
          <w:rFonts w:cs="David" w:hint="cs"/>
          <w:sz w:val="26"/>
          <w:szCs w:val="26"/>
          <w:rtl/>
        </w:rPr>
        <w:t xml:space="preserve">. ציון </w:t>
      </w:r>
      <w:r w:rsidRPr="006D2F2A">
        <w:rPr>
          <w:rFonts w:cs="David" w:hint="cs"/>
          <w:b/>
          <w:bCs/>
          <w:sz w:val="26"/>
          <w:szCs w:val="26"/>
          <w:rtl/>
        </w:rPr>
        <w:t>בונוס</w:t>
      </w:r>
      <w:r>
        <w:rPr>
          <w:rFonts w:cs="David" w:hint="cs"/>
          <w:sz w:val="26"/>
          <w:szCs w:val="26"/>
          <w:rtl/>
        </w:rPr>
        <w:t xml:space="preserve"> (של עד 3 נקודות) יוענק למי שישתתף באופן </w:t>
      </w:r>
      <w:r w:rsidRPr="0063785D">
        <w:rPr>
          <w:rFonts w:cs="David" w:hint="cs"/>
          <w:b/>
          <w:bCs/>
          <w:sz w:val="26"/>
          <w:szCs w:val="26"/>
          <w:rtl/>
        </w:rPr>
        <w:t>מושכל</w:t>
      </w:r>
      <w:r>
        <w:rPr>
          <w:rFonts w:cs="David" w:hint="cs"/>
          <w:sz w:val="26"/>
          <w:szCs w:val="26"/>
          <w:rtl/>
        </w:rPr>
        <w:t xml:space="preserve"> בתרגילים.</w:t>
      </w:r>
    </w:p>
    <w:p w:rsidR="00E618F6" w:rsidRPr="0063785D" w:rsidRDefault="00E618F6" w:rsidP="00E618F6">
      <w:pPr>
        <w:numPr>
          <w:ilvl w:val="0"/>
          <w:numId w:val="1"/>
        </w:numPr>
        <w:spacing w:after="0" w:line="276" w:lineRule="auto"/>
        <w:jc w:val="both"/>
        <w:rPr>
          <w:rFonts w:cs="David"/>
          <w:sz w:val="26"/>
          <w:szCs w:val="26"/>
        </w:rPr>
      </w:pPr>
      <w:r w:rsidRPr="0063785D">
        <w:rPr>
          <w:rFonts w:cs="David" w:hint="cs"/>
          <w:sz w:val="26"/>
          <w:szCs w:val="26"/>
          <w:rtl/>
        </w:rPr>
        <w:t xml:space="preserve">הגשת </w:t>
      </w:r>
      <w:r>
        <w:rPr>
          <w:rFonts w:cs="David" w:hint="cs"/>
          <w:b/>
          <w:bCs/>
          <w:sz w:val="26"/>
          <w:szCs w:val="26"/>
          <w:rtl/>
        </w:rPr>
        <w:t xml:space="preserve">2 </w:t>
      </w:r>
      <w:r w:rsidRPr="0063785D">
        <w:rPr>
          <w:rFonts w:cs="David" w:hint="cs"/>
          <w:b/>
          <w:bCs/>
          <w:sz w:val="26"/>
          <w:szCs w:val="26"/>
          <w:rtl/>
        </w:rPr>
        <w:t>מטל</w:t>
      </w:r>
      <w:r>
        <w:rPr>
          <w:rFonts w:cs="David" w:hint="cs"/>
          <w:b/>
          <w:bCs/>
          <w:sz w:val="26"/>
          <w:szCs w:val="26"/>
          <w:rtl/>
        </w:rPr>
        <w:t>ו</w:t>
      </w:r>
      <w:r w:rsidRPr="0063785D">
        <w:rPr>
          <w:rFonts w:cs="David" w:hint="cs"/>
          <w:b/>
          <w:bCs/>
          <w:sz w:val="26"/>
          <w:szCs w:val="26"/>
          <w:rtl/>
        </w:rPr>
        <w:t xml:space="preserve">ת </w:t>
      </w:r>
      <w:r>
        <w:rPr>
          <w:rFonts w:cs="David" w:hint="cs"/>
          <w:b/>
          <w:bCs/>
          <w:sz w:val="26"/>
          <w:szCs w:val="26"/>
          <w:rtl/>
        </w:rPr>
        <w:t>במהלך</w:t>
      </w:r>
      <w:r w:rsidRPr="0063785D">
        <w:rPr>
          <w:rFonts w:cs="David" w:hint="cs"/>
          <w:b/>
          <w:bCs/>
          <w:sz w:val="26"/>
          <w:szCs w:val="26"/>
          <w:rtl/>
        </w:rPr>
        <w:t xml:space="preserve"> סמסטר</w:t>
      </w:r>
      <w:r w:rsidRPr="0063785D">
        <w:rPr>
          <w:rFonts w:cs="David" w:hint="cs"/>
          <w:sz w:val="26"/>
          <w:szCs w:val="26"/>
          <w:rtl/>
        </w:rPr>
        <w:t xml:space="preserve">, באורך של </w:t>
      </w:r>
      <w:r w:rsidRPr="0063785D">
        <w:rPr>
          <w:rFonts w:cs="David" w:hint="cs"/>
          <w:b/>
          <w:bCs/>
          <w:sz w:val="26"/>
          <w:szCs w:val="26"/>
          <w:rtl/>
        </w:rPr>
        <w:t>עד</w:t>
      </w:r>
      <w:r w:rsidRPr="0063785D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2</w:t>
      </w:r>
      <w:r w:rsidRPr="0063785D">
        <w:rPr>
          <w:rFonts w:cs="David" w:hint="cs"/>
          <w:sz w:val="26"/>
          <w:szCs w:val="26"/>
          <w:rtl/>
        </w:rPr>
        <w:t xml:space="preserve"> עמודים, המוגש</w:t>
      </w:r>
      <w:r>
        <w:rPr>
          <w:rFonts w:cs="David" w:hint="cs"/>
          <w:sz w:val="26"/>
          <w:szCs w:val="26"/>
          <w:rtl/>
        </w:rPr>
        <w:t>ו</w:t>
      </w:r>
      <w:r w:rsidRPr="0063785D">
        <w:rPr>
          <w:rFonts w:cs="David" w:hint="cs"/>
          <w:sz w:val="26"/>
          <w:szCs w:val="26"/>
          <w:rtl/>
        </w:rPr>
        <w:t xml:space="preserve">ת </w:t>
      </w:r>
      <w:r w:rsidRPr="0063785D">
        <w:rPr>
          <w:rFonts w:cs="David" w:hint="cs"/>
          <w:b/>
          <w:bCs/>
          <w:sz w:val="26"/>
          <w:szCs w:val="26"/>
          <w:rtl/>
        </w:rPr>
        <w:t>ברווח כפול, בגופן 12 ועומד</w:t>
      </w:r>
      <w:r>
        <w:rPr>
          <w:rFonts w:cs="David" w:hint="cs"/>
          <w:b/>
          <w:bCs/>
          <w:sz w:val="26"/>
          <w:szCs w:val="26"/>
          <w:rtl/>
        </w:rPr>
        <w:t>ו</w:t>
      </w:r>
      <w:r w:rsidRPr="0063785D">
        <w:rPr>
          <w:rFonts w:cs="David" w:hint="cs"/>
          <w:b/>
          <w:bCs/>
          <w:sz w:val="26"/>
          <w:szCs w:val="26"/>
          <w:rtl/>
        </w:rPr>
        <w:t>ת בכל כללי הכתיבה האקדמיים</w:t>
      </w:r>
      <w:r>
        <w:rPr>
          <w:rFonts w:cs="David" w:hint="cs"/>
          <w:sz w:val="26"/>
          <w:szCs w:val="26"/>
          <w:rtl/>
        </w:rPr>
        <w:t>. משקלן</w:t>
      </w:r>
      <w:r w:rsidRPr="0063785D">
        <w:rPr>
          <w:rFonts w:cs="David" w:hint="cs"/>
          <w:sz w:val="26"/>
          <w:szCs w:val="26"/>
          <w:rtl/>
        </w:rPr>
        <w:t xml:space="preserve"> יהא </w:t>
      </w:r>
      <w:r>
        <w:rPr>
          <w:rFonts w:cs="David" w:hint="cs"/>
          <w:b/>
          <w:bCs/>
          <w:sz w:val="26"/>
          <w:szCs w:val="26"/>
          <w:rtl/>
        </w:rPr>
        <w:t>4</w:t>
      </w:r>
      <w:r w:rsidRPr="0063785D">
        <w:rPr>
          <w:rFonts w:cs="David" w:hint="cs"/>
          <w:b/>
          <w:bCs/>
          <w:sz w:val="26"/>
          <w:szCs w:val="26"/>
          <w:rtl/>
        </w:rPr>
        <w:t>0%</w:t>
      </w:r>
      <w:r w:rsidRPr="0063785D">
        <w:rPr>
          <w:rFonts w:cs="David" w:hint="cs"/>
          <w:sz w:val="26"/>
          <w:szCs w:val="26"/>
          <w:rtl/>
        </w:rPr>
        <w:t xml:space="preserve"> מהציון הסופי. המטלה </w:t>
      </w:r>
      <w:r>
        <w:rPr>
          <w:rFonts w:cs="David" w:hint="cs"/>
          <w:sz w:val="26"/>
          <w:szCs w:val="26"/>
          <w:rtl/>
        </w:rPr>
        <w:t>הראשונה תינתן</w:t>
      </w:r>
      <w:r w:rsidRPr="0063785D">
        <w:rPr>
          <w:rFonts w:cs="David" w:hint="cs"/>
          <w:sz w:val="26"/>
          <w:szCs w:val="26"/>
          <w:rtl/>
        </w:rPr>
        <w:t xml:space="preserve"> ב</w:t>
      </w:r>
      <w:r>
        <w:rPr>
          <w:rFonts w:cs="David" w:hint="cs"/>
          <w:sz w:val="26"/>
          <w:szCs w:val="26"/>
          <w:rtl/>
        </w:rPr>
        <w:t xml:space="preserve"> 4.5.20 </w:t>
      </w:r>
      <w:r w:rsidRPr="0063785D">
        <w:rPr>
          <w:rFonts w:cs="David" w:hint="cs"/>
          <w:sz w:val="26"/>
          <w:szCs w:val="26"/>
          <w:rtl/>
        </w:rPr>
        <w:t>ותו</w:t>
      </w:r>
      <w:r>
        <w:rPr>
          <w:rFonts w:cs="David" w:hint="cs"/>
          <w:sz w:val="26"/>
          <w:szCs w:val="26"/>
          <w:rtl/>
        </w:rPr>
        <w:t>גש</w:t>
      </w:r>
      <w:r w:rsidRPr="0063785D">
        <w:rPr>
          <w:rFonts w:cs="David" w:hint="cs"/>
          <w:sz w:val="26"/>
          <w:szCs w:val="26"/>
          <w:rtl/>
        </w:rPr>
        <w:t xml:space="preserve"> ב </w:t>
      </w:r>
      <w:r>
        <w:rPr>
          <w:rFonts w:cs="David" w:hint="cs"/>
          <w:sz w:val="26"/>
          <w:szCs w:val="26"/>
          <w:rtl/>
        </w:rPr>
        <w:t>11.5.20. המטלה השנייה תינתן ב1.6.20 ותוגש ב8.6.20</w:t>
      </w:r>
    </w:p>
    <w:p w:rsidR="00E618F6" w:rsidRPr="00057DF6" w:rsidRDefault="00E618F6" w:rsidP="00E618F6">
      <w:pPr>
        <w:numPr>
          <w:ilvl w:val="0"/>
          <w:numId w:val="1"/>
        </w:numPr>
        <w:spacing w:after="0" w:line="276" w:lineRule="auto"/>
        <w:jc w:val="both"/>
        <w:rPr>
          <w:rFonts w:cs="David"/>
          <w:sz w:val="26"/>
          <w:szCs w:val="26"/>
          <w:rtl/>
        </w:rPr>
      </w:pPr>
      <w:r w:rsidRPr="0063785D">
        <w:rPr>
          <w:rFonts w:cs="David" w:hint="cs"/>
          <w:sz w:val="26"/>
          <w:szCs w:val="26"/>
          <w:rtl/>
        </w:rPr>
        <w:t>בחינת-גמר שמשקלה יהא</w:t>
      </w:r>
      <w:r w:rsidRPr="0063785D">
        <w:rPr>
          <w:rFonts w:cs="David" w:hint="cs"/>
          <w:b/>
          <w:bCs/>
          <w:sz w:val="26"/>
          <w:szCs w:val="26"/>
          <w:rtl/>
        </w:rPr>
        <w:t xml:space="preserve"> </w:t>
      </w:r>
      <w:r>
        <w:rPr>
          <w:rFonts w:cs="David" w:hint="cs"/>
          <w:b/>
          <w:bCs/>
          <w:sz w:val="26"/>
          <w:szCs w:val="26"/>
          <w:rtl/>
        </w:rPr>
        <w:t>6</w:t>
      </w:r>
      <w:r w:rsidRPr="0063785D">
        <w:rPr>
          <w:rFonts w:cs="David" w:hint="cs"/>
          <w:b/>
          <w:bCs/>
          <w:sz w:val="26"/>
          <w:szCs w:val="26"/>
          <w:rtl/>
        </w:rPr>
        <w:t>0%</w:t>
      </w:r>
      <w:r w:rsidRPr="0063785D">
        <w:rPr>
          <w:rFonts w:cs="David" w:hint="cs"/>
          <w:sz w:val="26"/>
          <w:szCs w:val="26"/>
          <w:rtl/>
        </w:rPr>
        <w:t>.</w:t>
      </w:r>
    </w:p>
    <w:p w:rsidR="00E618F6" w:rsidRDefault="00E618F6" w:rsidP="00E618F6">
      <w:pPr>
        <w:spacing w:line="276" w:lineRule="auto"/>
        <w:jc w:val="both"/>
        <w:rPr>
          <w:rFonts w:cs="David"/>
          <w:sz w:val="26"/>
          <w:szCs w:val="26"/>
          <w:rtl/>
        </w:rPr>
      </w:pPr>
    </w:p>
    <w:p w:rsidR="00E618F6" w:rsidRDefault="00E618F6" w:rsidP="00E618F6">
      <w:pPr>
        <w:spacing w:line="276" w:lineRule="auto"/>
        <w:jc w:val="both"/>
        <w:rPr>
          <w:rFonts w:cs="David"/>
          <w:sz w:val="26"/>
          <w:szCs w:val="26"/>
          <w:rtl/>
        </w:rPr>
      </w:pPr>
      <w:r w:rsidRPr="000008CD">
        <w:rPr>
          <w:rFonts w:cs="David"/>
          <w:sz w:val="26"/>
          <w:szCs w:val="26"/>
          <w:rtl/>
        </w:rPr>
        <w:t>מומלץ להגיע להרצאות עם הטקסט (או צילום הטקסט) הרלוונטי לאותו שיעור.</w:t>
      </w:r>
    </w:p>
    <w:p w:rsidR="00E618F6" w:rsidRDefault="00E618F6" w:rsidP="00E618F6">
      <w:pPr>
        <w:spacing w:line="276" w:lineRule="auto"/>
        <w:jc w:val="both"/>
        <w:rPr>
          <w:rFonts w:cs="David"/>
          <w:sz w:val="26"/>
          <w:szCs w:val="26"/>
          <w:rtl/>
        </w:rPr>
      </w:pPr>
      <w:r w:rsidRPr="00057DF6">
        <w:rPr>
          <w:rFonts w:cs="David" w:hint="cs"/>
          <w:b/>
          <w:bCs/>
          <w:sz w:val="26"/>
          <w:szCs w:val="26"/>
          <w:rtl/>
        </w:rPr>
        <w:t>כל הפריטים</w:t>
      </w:r>
      <w:r>
        <w:rPr>
          <w:rFonts w:cs="David" w:hint="cs"/>
          <w:sz w:val="26"/>
          <w:szCs w:val="26"/>
          <w:rtl/>
        </w:rPr>
        <w:t xml:space="preserve"> </w:t>
      </w:r>
      <w:r w:rsidRPr="00057DF6">
        <w:rPr>
          <w:rFonts w:cs="David" w:hint="cs"/>
          <w:b/>
          <w:bCs/>
          <w:sz w:val="26"/>
          <w:szCs w:val="26"/>
          <w:rtl/>
        </w:rPr>
        <w:t>המסומנים ב*</w:t>
      </w:r>
      <w:r>
        <w:rPr>
          <w:rFonts w:cs="David" w:hint="cs"/>
          <w:sz w:val="26"/>
          <w:szCs w:val="26"/>
          <w:rtl/>
        </w:rPr>
        <w:t xml:space="preserve"> הינם פריטי </w:t>
      </w:r>
      <w:r w:rsidRPr="000008CD">
        <w:rPr>
          <w:rFonts w:cs="David" w:hint="cs"/>
          <w:b/>
          <w:bCs/>
          <w:sz w:val="26"/>
          <w:szCs w:val="26"/>
          <w:rtl/>
        </w:rPr>
        <w:t>רשות</w:t>
      </w:r>
      <w:r>
        <w:rPr>
          <w:rFonts w:cs="David" w:hint="cs"/>
          <w:sz w:val="26"/>
          <w:szCs w:val="26"/>
          <w:rtl/>
        </w:rPr>
        <w:t xml:space="preserve"> קריאה.</w:t>
      </w:r>
    </w:p>
    <w:p w:rsidR="00E618F6" w:rsidRDefault="00E618F6" w:rsidP="00E618F6">
      <w:pPr>
        <w:spacing w:line="276" w:lineRule="auto"/>
        <w:jc w:val="both"/>
        <w:rPr>
          <w:rFonts w:cs="David"/>
          <w:sz w:val="26"/>
          <w:szCs w:val="26"/>
          <w:rtl/>
        </w:rPr>
      </w:pPr>
    </w:p>
    <w:p w:rsidR="00E618F6" w:rsidRDefault="00E618F6" w:rsidP="00E618F6">
      <w:pPr>
        <w:spacing w:line="276" w:lineRule="auto"/>
        <w:jc w:val="both"/>
        <w:rPr>
          <w:rFonts w:cs="David"/>
          <w:sz w:val="26"/>
          <w:szCs w:val="26"/>
          <w:rtl/>
        </w:rPr>
      </w:pPr>
    </w:p>
    <w:p w:rsidR="00E618F6" w:rsidRDefault="00E618F6" w:rsidP="00E618F6">
      <w:pPr>
        <w:spacing w:line="276" w:lineRule="auto"/>
        <w:jc w:val="both"/>
        <w:rPr>
          <w:rFonts w:cs="David"/>
          <w:sz w:val="26"/>
          <w:szCs w:val="26"/>
          <w:rtl/>
        </w:rPr>
      </w:pPr>
    </w:p>
    <w:p w:rsidR="00E618F6" w:rsidRDefault="00E618F6" w:rsidP="00E618F6">
      <w:pPr>
        <w:spacing w:line="276" w:lineRule="auto"/>
        <w:jc w:val="both"/>
        <w:rPr>
          <w:rFonts w:cs="David"/>
          <w:sz w:val="26"/>
          <w:szCs w:val="26"/>
          <w:rtl/>
        </w:rPr>
      </w:pPr>
    </w:p>
    <w:p w:rsidR="00E618F6" w:rsidRPr="00E33D2C" w:rsidRDefault="00E618F6" w:rsidP="00E618F6">
      <w:pPr>
        <w:spacing w:line="276" w:lineRule="auto"/>
        <w:jc w:val="both"/>
        <w:rPr>
          <w:rFonts w:cs="David"/>
          <w:sz w:val="26"/>
          <w:szCs w:val="26"/>
          <w:rtl/>
        </w:rPr>
      </w:pPr>
    </w:p>
    <w:p w:rsidR="00E618F6" w:rsidRDefault="00E618F6" w:rsidP="00E618F6">
      <w:pPr>
        <w:spacing w:line="276" w:lineRule="auto"/>
        <w:ind w:left="360"/>
        <w:jc w:val="center"/>
        <w:rPr>
          <w:rFonts w:cs="David"/>
          <w:b/>
          <w:bCs/>
          <w:sz w:val="32"/>
          <w:szCs w:val="32"/>
          <w:rtl/>
        </w:rPr>
      </w:pPr>
      <w:r w:rsidRPr="0074290F">
        <w:rPr>
          <w:rFonts w:cs="David" w:hint="cs"/>
          <w:b/>
          <w:bCs/>
          <w:sz w:val="32"/>
          <w:szCs w:val="32"/>
          <w:rtl/>
        </w:rPr>
        <w:t xml:space="preserve">חלק א' </w:t>
      </w:r>
      <w:r w:rsidRPr="0074290F">
        <w:rPr>
          <w:rFonts w:cs="David"/>
          <w:b/>
          <w:bCs/>
          <w:sz w:val="32"/>
          <w:szCs w:val="32"/>
          <w:rtl/>
        </w:rPr>
        <w:t>–</w:t>
      </w:r>
      <w:r w:rsidRPr="0074290F">
        <w:rPr>
          <w:rFonts w:cs="David" w:hint="cs"/>
          <w:b/>
          <w:bCs/>
          <w:sz w:val="32"/>
          <w:szCs w:val="32"/>
          <w:rtl/>
        </w:rPr>
        <w:t xml:space="preserve"> העולם העתיק</w:t>
      </w:r>
      <w:r>
        <w:rPr>
          <w:rFonts w:cs="David" w:hint="cs"/>
          <w:b/>
          <w:bCs/>
          <w:sz w:val="32"/>
          <w:szCs w:val="32"/>
          <w:rtl/>
        </w:rPr>
        <w:t xml:space="preserve"> וימי הביניים</w:t>
      </w:r>
    </w:p>
    <w:p w:rsidR="00E618F6" w:rsidRPr="0074290F" w:rsidRDefault="00E618F6" w:rsidP="00E618F6">
      <w:pPr>
        <w:spacing w:line="276" w:lineRule="auto"/>
        <w:ind w:left="360"/>
        <w:jc w:val="center"/>
        <w:rPr>
          <w:rFonts w:cs="David"/>
          <w:sz w:val="26"/>
          <w:szCs w:val="26"/>
          <w:rtl/>
        </w:rPr>
      </w:pPr>
    </w:p>
    <w:p w:rsidR="00E618F6" w:rsidRDefault="00E618F6" w:rsidP="00E618F6">
      <w:pPr>
        <w:spacing w:line="276" w:lineRule="auto"/>
        <w:rPr>
          <w:rFonts w:cs="David"/>
          <w:b/>
          <w:bCs/>
          <w:sz w:val="26"/>
          <w:szCs w:val="26"/>
          <w:u w:val="single"/>
          <w:rtl/>
        </w:rPr>
      </w:pPr>
      <w:r w:rsidRPr="009E7CAD">
        <w:rPr>
          <w:rFonts w:cs="David" w:hint="cs"/>
          <w:b/>
          <w:bCs/>
          <w:sz w:val="26"/>
          <w:szCs w:val="26"/>
          <w:u w:val="single"/>
          <w:rtl/>
        </w:rPr>
        <w:t>שיעור 1 (</w:t>
      </w:r>
      <w:r>
        <w:rPr>
          <w:rFonts w:cs="David" w:hint="cs"/>
          <w:b/>
          <w:bCs/>
          <w:sz w:val="26"/>
          <w:szCs w:val="26"/>
          <w:u w:val="single"/>
          <w:rtl/>
        </w:rPr>
        <w:t>9.3</w:t>
      </w:r>
      <w:r w:rsidRPr="009E7CAD">
        <w:rPr>
          <w:rFonts w:cs="David" w:hint="cs"/>
          <w:b/>
          <w:bCs/>
          <w:sz w:val="26"/>
          <w:szCs w:val="26"/>
          <w:u w:val="single"/>
          <w:rtl/>
        </w:rPr>
        <w:t xml:space="preserve">) </w:t>
      </w:r>
      <w:r w:rsidRPr="009E7CAD">
        <w:rPr>
          <w:rFonts w:cs="David"/>
          <w:b/>
          <w:bCs/>
          <w:sz w:val="26"/>
          <w:szCs w:val="26"/>
          <w:u w:val="single"/>
          <w:rtl/>
        </w:rPr>
        <w:t>–</w:t>
      </w:r>
      <w:r w:rsidRPr="009E7CAD">
        <w:rPr>
          <w:rFonts w:cs="David" w:hint="cs"/>
          <w:b/>
          <w:bCs/>
          <w:sz w:val="26"/>
          <w:szCs w:val="26"/>
          <w:u w:val="single"/>
          <w:rtl/>
        </w:rPr>
        <w:t xml:space="preserve"> מבוא לפילוסופיה פוליטית ו</w:t>
      </w:r>
      <w:r>
        <w:rPr>
          <w:rFonts w:cs="David" w:hint="cs"/>
          <w:b/>
          <w:bCs/>
          <w:sz w:val="26"/>
          <w:szCs w:val="26"/>
          <w:u w:val="single"/>
          <w:rtl/>
        </w:rPr>
        <w:t>ל</w:t>
      </w:r>
      <w:r w:rsidRPr="009E7CAD">
        <w:rPr>
          <w:rFonts w:cs="David" w:hint="cs"/>
          <w:b/>
          <w:bCs/>
          <w:sz w:val="26"/>
          <w:szCs w:val="26"/>
          <w:u w:val="single"/>
          <w:rtl/>
        </w:rPr>
        <w:t xml:space="preserve">יוון הקלאסית </w:t>
      </w:r>
    </w:p>
    <w:p w:rsidR="00E618F6" w:rsidRDefault="00E618F6" w:rsidP="00E618F6">
      <w:pPr>
        <w:spacing w:line="276" w:lineRule="auto"/>
        <w:rPr>
          <w:rFonts w:cs="David"/>
          <w:b/>
          <w:bCs/>
          <w:sz w:val="26"/>
          <w:szCs w:val="26"/>
          <w:u w:val="single"/>
          <w:rtl/>
        </w:rPr>
      </w:pPr>
    </w:p>
    <w:p w:rsidR="00E618F6" w:rsidRPr="009E7CAD" w:rsidRDefault="00E618F6" w:rsidP="00CC7767">
      <w:pPr>
        <w:spacing w:line="276" w:lineRule="auto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שיעור 2 (1</w:t>
      </w:r>
      <w:r w:rsidR="00CC7767">
        <w:rPr>
          <w:rFonts w:cs="David" w:hint="cs"/>
          <w:b/>
          <w:bCs/>
          <w:sz w:val="26"/>
          <w:szCs w:val="26"/>
          <w:u w:val="single"/>
          <w:rtl/>
        </w:rPr>
        <w:t>6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.3) </w:t>
      </w:r>
      <w:r>
        <w:rPr>
          <w:rFonts w:cs="David"/>
          <w:b/>
          <w:bCs/>
          <w:sz w:val="26"/>
          <w:szCs w:val="26"/>
          <w:u w:val="single"/>
          <w:rtl/>
        </w:rPr>
        <w:t>–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 המשטרים ביוון: אתונה מול ספרטה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תוקידידס, (1959), </w:t>
      </w:r>
      <w:r w:rsidRPr="001C3C1B">
        <w:rPr>
          <w:rFonts w:cs="David" w:hint="cs"/>
          <w:b/>
          <w:bCs/>
          <w:sz w:val="26"/>
          <w:szCs w:val="26"/>
          <w:rtl/>
        </w:rPr>
        <w:t>תולדות מלחמת פילופוניס</w:t>
      </w:r>
      <w:r>
        <w:rPr>
          <w:rFonts w:cs="David" w:hint="cs"/>
          <w:sz w:val="26"/>
          <w:szCs w:val="26"/>
          <w:rtl/>
        </w:rPr>
        <w:t>, ירושלים: מוסד ביאליק, ספר שני, פרקים ל"ד-מ"ז, נ"ט-ס"ה, ספר שלישי, פרקים ל"ו- ס"ח, עמ' 88-94, 99-102, 138-155.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פלוטארכוס (1986), "ליקורגוס" בתוך </w:t>
      </w:r>
      <w:r w:rsidRPr="00BE1DE8">
        <w:rPr>
          <w:rFonts w:cs="David" w:hint="cs"/>
          <w:b/>
          <w:bCs/>
          <w:sz w:val="26"/>
          <w:szCs w:val="26"/>
          <w:rtl/>
        </w:rPr>
        <w:t>חיי אישים: אנשי יוון</w:t>
      </w:r>
      <w:r>
        <w:rPr>
          <w:rFonts w:cs="David" w:hint="cs"/>
          <w:sz w:val="26"/>
          <w:szCs w:val="26"/>
          <w:rtl/>
        </w:rPr>
        <w:t>, ירושלים: מוסד ביאליק, עמ' 7-39.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כסנופון (2011), </w:t>
      </w:r>
      <w:r w:rsidRPr="00BE1DE8">
        <w:rPr>
          <w:rFonts w:cs="David" w:hint="cs"/>
          <w:b/>
          <w:bCs/>
          <w:sz w:val="26"/>
          <w:szCs w:val="26"/>
          <w:rtl/>
        </w:rPr>
        <w:t>מדינת הספרטנים</w:t>
      </w:r>
      <w:r>
        <w:rPr>
          <w:rFonts w:cs="David" w:hint="cs"/>
          <w:sz w:val="26"/>
          <w:szCs w:val="26"/>
          <w:rtl/>
        </w:rPr>
        <w:t>, ירושלים: מאגנס, עמ' 31-44.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u w:val="single"/>
          <w:rtl/>
        </w:rPr>
        <w:t>ל</w:t>
      </w:r>
      <w:r w:rsidRPr="001C3C1B">
        <w:rPr>
          <w:rFonts w:cs="David" w:hint="cs"/>
          <w:sz w:val="26"/>
          <w:szCs w:val="26"/>
          <w:u w:val="single"/>
          <w:rtl/>
        </w:rPr>
        <w:t>עזרה</w:t>
      </w:r>
      <w:r w:rsidRPr="001C3C1B">
        <w:rPr>
          <w:rFonts w:cs="David" w:hint="cs"/>
          <w:sz w:val="26"/>
          <w:szCs w:val="26"/>
          <w:rtl/>
        </w:rPr>
        <w:t>:</w:t>
      </w:r>
      <w:r>
        <w:rPr>
          <w:rFonts w:cs="David" w:hint="cs"/>
          <w:sz w:val="26"/>
          <w:szCs w:val="26"/>
          <w:rtl/>
        </w:rPr>
        <w:t xml:space="preserve"> עמית, מ. (1984), </w:t>
      </w:r>
      <w:r w:rsidRPr="001C3C1B">
        <w:rPr>
          <w:rFonts w:cs="David" w:hint="cs"/>
          <w:b/>
          <w:bCs/>
          <w:sz w:val="26"/>
          <w:szCs w:val="26"/>
          <w:rtl/>
        </w:rPr>
        <w:t>תולדות יוון הקלאסית</w:t>
      </w:r>
      <w:r>
        <w:rPr>
          <w:rFonts w:cs="David" w:hint="cs"/>
          <w:sz w:val="26"/>
          <w:szCs w:val="26"/>
          <w:rtl/>
        </w:rPr>
        <w:t>, ירושלים: מאגנס.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פוקס, א. (1970), </w:t>
      </w:r>
      <w:r w:rsidRPr="001C3C1B">
        <w:rPr>
          <w:rFonts w:cs="David" w:hint="cs"/>
          <w:b/>
          <w:bCs/>
          <w:sz w:val="26"/>
          <w:szCs w:val="26"/>
          <w:rtl/>
        </w:rPr>
        <w:t>אתונה בימי גדולתה</w:t>
      </w:r>
      <w:r>
        <w:rPr>
          <w:rFonts w:cs="David" w:hint="cs"/>
          <w:sz w:val="26"/>
          <w:szCs w:val="26"/>
          <w:rtl/>
        </w:rPr>
        <w:t>, ירושלים: מוסד ביאליק.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----, (1976), </w:t>
      </w:r>
      <w:r w:rsidRPr="001C3C1B">
        <w:rPr>
          <w:rFonts w:cs="David" w:hint="cs"/>
          <w:b/>
          <w:bCs/>
          <w:sz w:val="26"/>
          <w:szCs w:val="26"/>
          <w:rtl/>
        </w:rPr>
        <w:t>מדינה וחברה ביוון</w:t>
      </w:r>
      <w:r>
        <w:rPr>
          <w:rFonts w:cs="David" w:hint="cs"/>
          <w:sz w:val="26"/>
          <w:szCs w:val="26"/>
          <w:rtl/>
        </w:rPr>
        <w:t>, ירושלים: מוסד ביאליק.</w:t>
      </w:r>
    </w:p>
    <w:p w:rsidR="00E618F6" w:rsidRDefault="00E618F6" w:rsidP="00E618F6">
      <w:pPr>
        <w:spacing w:line="276" w:lineRule="auto"/>
        <w:rPr>
          <w:rFonts w:cs="David"/>
          <w:b/>
          <w:bCs/>
          <w:i/>
          <w:iCs/>
          <w:sz w:val="26"/>
          <w:szCs w:val="26"/>
          <w:u w:val="single"/>
          <w:rtl/>
        </w:rPr>
      </w:pPr>
    </w:p>
    <w:p w:rsidR="00E618F6" w:rsidRDefault="00E618F6" w:rsidP="00CC7767">
      <w:pPr>
        <w:spacing w:line="276" w:lineRule="auto"/>
        <w:rPr>
          <w:rFonts w:cs="David"/>
          <w:sz w:val="26"/>
          <w:szCs w:val="26"/>
          <w:rtl/>
        </w:rPr>
      </w:pPr>
      <w:r w:rsidRPr="009E7CAD">
        <w:rPr>
          <w:rFonts w:cs="David" w:hint="cs"/>
          <w:b/>
          <w:bCs/>
          <w:sz w:val="26"/>
          <w:szCs w:val="26"/>
          <w:u w:val="single"/>
          <w:rtl/>
        </w:rPr>
        <w:t>שיעור</w:t>
      </w:r>
      <w:r>
        <w:rPr>
          <w:rFonts w:cs="David" w:hint="cs"/>
          <w:b/>
          <w:bCs/>
          <w:sz w:val="26"/>
          <w:szCs w:val="26"/>
          <w:u w:val="single"/>
          <w:rtl/>
        </w:rPr>
        <w:t>ים</w:t>
      </w:r>
      <w:r w:rsidRPr="009E7CAD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David" w:hint="cs"/>
          <w:b/>
          <w:bCs/>
          <w:sz w:val="26"/>
          <w:szCs w:val="26"/>
          <w:u w:val="single"/>
          <w:rtl/>
        </w:rPr>
        <w:t>3-4</w:t>
      </w:r>
      <w:r w:rsidRPr="009E7CAD">
        <w:rPr>
          <w:rFonts w:cs="David" w:hint="cs"/>
          <w:b/>
          <w:bCs/>
          <w:sz w:val="26"/>
          <w:szCs w:val="26"/>
          <w:u w:val="single"/>
          <w:rtl/>
        </w:rPr>
        <w:t xml:space="preserve"> (</w:t>
      </w:r>
      <w:r w:rsidR="00CC7767">
        <w:rPr>
          <w:rFonts w:cs="David" w:hint="cs"/>
          <w:b/>
          <w:bCs/>
          <w:sz w:val="26"/>
          <w:szCs w:val="26"/>
          <w:u w:val="single"/>
          <w:rtl/>
        </w:rPr>
        <w:t>30</w:t>
      </w:r>
      <w:r>
        <w:rPr>
          <w:rFonts w:cs="David" w:hint="cs"/>
          <w:b/>
          <w:bCs/>
          <w:sz w:val="26"/>
          <w:szCs w:val="26"/>
          <w:u w:val="single"/>
          <w:rtl/>
        </w:rPr>
        <w:t>.3, 2</w:t>
      </w:r>
      <w:r w:rsidR="00CC7767">
        <w:rPr>
          <w:rFonts w:cs="David" w:hint="cs"/>
          <w:b/>
          <w:bCs/>
          <w:sz w:val="26"/>
          <w:szCs w:val="26"/>
          <w:u w:val="single"/>
          <w:rtl/>
        </w:rPr>
        <w:t>3</w:t>
      </w:r>
      <w:r>
        <w:rPr>
          <w:rFonts w:cs="David" w:hint="cs"/>
          <w:b/>
          <w:bCs/>
          <w:sz w:val="26"/>
          <w:szCs w:val="26"/>
          <w:u w:val="single"/>
          <w:rtl/>
        </w:rPr>
        <w:t>.3</w:t>
      </w:r>
      <w:r w:rsidRPr="009E7CAD">
        <w:rPr>
          <w:rFonts w:cs="David" w:hint="cs"/>
          <w:b/>
          <w:bCs/>
          <w:sz w:val="26"/>
          <w:szCs w:val="26"/>
          <w:u w:val="single"/>
          <w:rtl/>
        </w:rPr>
        <w:t xml:space="preserve">) </w:t>
      </w:r>
      <w:r w:rsidRPr="009E7CAD">
        <w:rPr>
          <w:rFonts w:cs="David"/>
          <w:b/>
          <w:bCs/>
          <w:sz w:val="26"/>
          <w:szCs w:val="26"/>
          <w:u w:val="single"/>
          <w:rtl/>
        </w:rPr>
        <w:t>–</w:t>
      </w:r>
      <w:r w:rsidRPr="009E7CAD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הביקורת על הדמוקרטיה: מסוקרטס לאפלטון 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אפלטון, (1979), "פוליטיאה", בתוך </w:t>
      </w:r>
      <w:r w:rsidRPr="00CA4F0E">
        <w:rPr>
          <w:rFonts w:cs="David" w:hint="cs"/>
          <w:b/>
          <w:bCs/>
          <w:sz w:val="26"/>
          <w:szCs w:val="26"/>
          <w:rtl/>
        </w:rPr>
        <w:t>כתבי אפלטון</w:t>
      </w:r>
      <w:r>
        <w:rPr>
          <w:rFonts w:cs="David" w:hint="cs"/>
          <w:sz w:val="26"/>
          <w:szCs w:val="26"/>
          <w:rtl/>
        </w:rPr>
        <w:t>, ת"א וירושלים: שוקן, כרך ב', ספרים א'-ב' עמ' 159-238, ספר ד' עמ' 287-327,</w:t>
      </w:r>
      <w:r w:rsidRPr="00476921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ספר ה' עמ' 365-377, ספר ו' עמ' 378-420, ספר ז' עמ' 421-430.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*ספר ה"פוליטיאה" בשלמותו.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*אפלטון, (1997), "פרוטאגורס", בתוך</w:t>
      </w:r>
      <w:r w:rsidRPr="000008CD">
        <w:rPr>
          <w:rFonts w:cs="David" w:hint="cs"/>
          <w:b/>
          <w:bCs/>
          <w:sz w:val="26"/>
          <w:szCs w:val="26"/>
          <w:rtl/>
        </w:rPr>
        <w:t xml:space="preserve"> </w:t>
      </w:r>
      <w:r w:rsidRPr="00CA4F0E">
        <w:rPr>
          <w:rFonts w:cs="David" w:hint="cs"/>
          <w:b/>
          <w:bCs/>
          <w:sz w:val="26"/>
          <w:szCs w:val="26"/>
          <w:rtl/>
        </w:rPr>
        <w:t>כתבי אפלטון</w:t>
      </w:r>
      <w:r>
        <w:rPr>
          <w:rFonts w:cs="David" w:hint="cs"/>
          <w:sz w:val="26"/>
          <w:szCs w:val="26"/>
          <w:rtl/>
        </w:rPr>
        <w:t>, ת"א וירושלים: שוקן, כרך א', עמ' 11-71.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u w:val="single"/>
          <w:rtl/>
        </w:rPr>
        <w:t>ל</w:t>
      </w:r>
      <w:r w:rsidRPr="00CA4F0E">
        <w:rPr>
          <w:rFonts w:cs="David" w:hint="cs"/>
          <w:sz w:val="26"/>
          <w:szCs w:val="26"/>
          <w:u w:val="single"/>
          <w:rtl/>
        </w:rPr>
        <w:t>עזרה</w:t>
      </w:r>
      <w:r>
        <w:rPr>
          <w:rFonts w:cs="David" w:hint="cs"/>
          <w:sz w:val="26"/>
          <w:szCs w:val="26"/>
          <w:rtl/>
        </w:rPr>
        <w:t xml:space="preserve">: שקולניקוב, ש. ווינריב, א. (1997), </w:t>
      </w:r>
      <w:r w:rsidRPr="00CA4F0E">
        <w:rPr>
          <w:rFonts w:cs="David" w:hint="cs"/>
          <w:b/>
          <w:bCs/>
          <w:sz w:val="26"/>
          <w:szCs w:val="26"/>
          <w:rtl/>
        </w:rPr>
        <w:t>פילוסופיה יוונית</w:t>
      </w:r>
      <w:r>
        <w:rPr>
          <w:rFonts w:cs="David" w:hint="cs"/>
          <w:sz w:val="26"/>
          <w:szCs w:val="26"/>
          <w:rtl/>
        </w:rPr>
        <w:t>, כרך ב': אפלטון, ת"א: האוניברסיטה הפתוחה.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</w:p>
    <w:p w:rsidR="00E618F6" w:rsidRPr="00976EDD" w:rsidRDefault="00E618F6" w:rsidP="00CC7767">
      <w:pPr>
        <w:spacing w:line="276" w:lineRule="auto"/>
        <w:rPr>
          <w:rFonts w:cs="David"/>
          <w:b/>
          <w:bCs/>
          <w:i/>
          <w:iCs/>
          <w:sz w:val="26"/>
          <w:szCs w:val="26"/>
          <w:u w:val="single"/>
          <w:rtl/>
        </w:rPr>
      </w:pPr>
      <w:r w:rsidRPr="00745775">
        <w:rPr>
          <w:rFonts w:cs="David" w:hint="cs"/>
          <w:b/>
          <w:bCs/>
          <w:sz w:val="26"/>
          <w:szCs w:val="26"/>
          <w:u w:val="single"/>
          <w:rtl/>
        </w:rPr>
        <w:t>שיעור</w:t>
      </w:r>
      <w:r>
        <w:rPr>
          <w:rFonts w:cs="David" w:hint="cs"/>
          <w:b/>
          <w:bCs/>
          <w:sz w:val="26"/>
          <w:szCs w:val="26"/>
          <w:u w:val="single"/>
          <w:rtl/>
        </w:rPr>
        <w:t>ים</w:t>
      </w:r>
      <w:r w:rsidRPr="00745775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David" w:hint="cs"/>
          <w:b/>
          <w:bCs/>
          <w:sz w:val="26"/>
          <w:szCs w:val="26"/>
          <w:u w:val="single"/>
          <w:rtl/>
        </w:rPr>
        <w:t>5-6</w:t>
      </w:r>
      <w:r w:rsidRPr="00745775">
        <w:rPr>
          <w:rFonts w:cs="David" w:hint="cs"/>
          <w:b/>
          <w:bCs/>
          <w:sz w:val="26"/>
          <w:szCs w:val="26"/>
          <w:u w:val="single"/>
          <w:rtl/>
        </w:rPr>
        <w:t xml:space="preserve"> (</w:t>
      </w:r>
      <w:r w:rsidR="00CC7767">
        <w:rPr>
          <w:rFonts w:cs="David" w:hint="cs"/>
          <w:b/>
          <w:bCs/>
          <w:sz w:val="26"/>
          <w:szCs w:val="26"/>
          <w:u w:val="single"/>
          <w:rtl/>
        </w:rPr>
        <w:t>27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.4, </w:t>
      </w:r>
      <w:r w:rsidR="00CC7767">
        <w:rPr>
          <w:rFonts w:cs="David" w:hint="cs"/>
          <w:b/>
          <w:bCs/>
          <w:sz w:val="26"/>
          <w:szCs w:val="26"/>
          <w:u w:val="single"/>
          <w:rtl/>
        </w:rPr>
        <w:t>20</w:t>
      </w:r>
      <w:r>
        <w:rPr>
          <w:rFonts w:cs="David" w:hint="cs"/>
          <w:b/>
          <w:bCs/>
          <w:sz w:val="26"/>
          <w:szCs w:val="26"/>
          <w:u w:val="single"/>
          <w:rtl/>
        </w:rPr>
        <w:t>.4</w:t>
      </w:r>
      <w:r w:rsidRPr="00745775">
        <w:rPr>
          <w:rFonts w:cs="David" w:hint="cs"/>
          <w:b/>
          <w:bCs/>
          <w:sz w:val="26"/>
          <w:szCs w:val="26"/>
          <w:u w:val="single"/>
          <w:rtl/>
        </w:rPr>
        <w:t xml:space="preserve">) </w:t>
      </w:r>
      <w:r w:rsidRPr="00745775">
        <w:rPr>
          <w:rFonts w:cs="David"/>
          <w:b/>
          <w:bCs/>
          <w:sz w:val="26"/>
          <w:szCs w:val="26"/>
          <w:u w:val="single"/>
          <w:rtl/>
        </w:rPr>
        <w:t>–</w:t>
      </w:r>
      <w:r w:rsidRPr="00745775">
        <w:rPr>
          <w:rFonts w:cs="David" w:hint="cs"/>
          <w:b/>
          <w:bCs/>
          <w:sz w:val="26"/>
          <w:szCs w:val="26"/>
          <w:u w:val="single"/>
          <w:rtl/>
        </w:rPr>
        <w:t xml:space="preserve"> הריאליזם האריסטוטלי</w:t>
      </w:r>
      <w:r>
        <w:rPr>
          <w:rFonts w:cs="David" w:hint="cs"/>
          <w:b/>
          <w:bCs/>
          <w:i/>
          <w:iCs/>
          <w:sz w:val="26"/>
          <w:szCs w:val="26"/>
          <w:u w:val="single"/>
          <w:rtl/>
        </w:rPr>
        <w:t xml:space="preserve">   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אריסטו, (2009), </w:t>
      </w:r>
      <w:r w:rsidRPr="00E3382D">
        <w:rPr>
          <w:rFonts w:cs="David" w:hint="cs"/>
          <w:b/>
          <w:bCs/>
          <w:sz w:val="26"/>
          <w:szCs w:val="26"/>
          <w:rtl/>
        </w:rPr>
        <w:t>פוליטיקה</w:t>
      </w:r>
      <w:r>
        <w:rPr>
          <w:rFonts w:cs="David" w:hint="cs"/>
          <w:sz w:val="26"/>
          <w:szCs w:val="26"/>
          <w:rtl/>
        </w:rPr>
        <w:t>, ת"א: רסלינג, ספר א' סעיפים 1-7, עמ' 23-39, ספר ב' סעיפים 1-5, עמ' 61-77, וספר ג', סעיפים 1-12, עמ' 119-153.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*</w:t>
      </w:r>
      <w:r w:rsidRPr="00DA6A99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אריסטו, (1985), </w:t>
      </w:r>
      <w:r w:rsidRPr="00E3382D">
        <w:rPr>
          <w:rFonts w:cs="David" w:hint="cs"/>
          <w:b/>
          <w:bCs/>
          <w:sz w:val="26"/>
          <w:szCs w:val="26"/>
          <w:rtl/>
        </w:rPr>
        <w:t>אתיקה: מהדורת ניקומאכוס</w:t>
      </w:r>
      <w:r>
        <w:rPr>
          <w:rFonts w:cs="David" w:hint="cs"/>
          <w:sz w:val="26"/>
          <w:szCs w:val="26"/>
          <w:rtl/>
        </w:rPr>
        <w:t>, ת"א וירושלים: שוקן, ספר א', ספר ב', ספר ח', עמ' 15-56, 188- 212.</w:t>
      </w:r>
    </w:p>
    <w:p w:rsidR="00E618F6" w:rsidRPr="00DA6A99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u w:val="single"/>
          <w:rtl/>
        </w:rPr>
        <w:t>ל</w:t>
      </w:r>
      <w:r w:rsidRPr="00976EDD">
        <w:rPr>
          <w:rFonts w:cs="David" w:hint="cs"/>
          <w:sz w:val="26"/>
          <w:szCs w:val="26"/>
          <w:u w:val="single"/>
          <w:rtl/>
        </w:rPr>
        <w:t>עזרה</w:t>
      </w:r>
      <w:r>
        <w:rPr>
          <w:rFonts w:cs="David" w:hint="cs"/>
          <w:sz w:val="26"/>
          <w:szCs w:val="26"/>
          <w:rtl/>
        </w:rPr>
        <w:t xml:space="preserve">: שקולניקוב, ש. ווינריב, א. (1998), </w:t>
      </w:r>
      <w:r w:rsidRPr="00CA4F0E">
        <w:rPr>
          <w:rFonts w:cs="David" w:hint="cs"/>
          <w:b/>
          <w:bCs/>
          <w:sz w:val="26"/>
          <w:szCs w:val="26"/>
          <w:rtl/>
        </w:rPr>
        <w:t>פילוסופיה יוונית</w:t>
      </w:r>
      <w:r>
        <w:rPr>
          <w:rFonts w:cs="David" w:hint="cs"/>
          <w:sz w:val="26"/>
          <w:szCs w:val="26"/>
          <w:rtl/>
        </w:rPr>
        <w:t>, כרך ג': אריסטו, ת"א: האוניברסיטה הפתוחה.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ווינריב, א. (2008), </w:t>
      </w:r>
      <w:r>
        <w:rPr>
          <w:rFonts w:cs="David" w:hint="cs"/>
          <w:b/>
          <w:bCs/>
          <w:sz w:val="26"/>
          <w:szCs w:val="26"/>
          <w:rtl/>
        </w:rPr>
        <w:t>בעיות בפילוסופיה של המוסר</w:t>
      </w:r>
      <w:r>
        <w:rPr>
          <w:rFonts w:cs="David" w:hint="cs"/>
          <w:sz w:val="26"/>
          <w:szCs w:val="26"/>
          <w:rtl/>
        </w:rPr>
        <w:t>, ת"א: האוניברסיטה הפתוחה, כרך א', יחידה 3, עמ' 179-220.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</w:p>
    <w:p w:rsidR="00E618F6" w:rsidRPr="0071117D" w:rsidRDefault="00E618F6" w:rsidP="00CC7767">
      <w:pPr>
        <w:spacing w:line="276" w:lineRule="auto"/>
        <w:rPr>
          <w:rFonts w:cs="David"/>
          <w:b/>
          <w:bCs/>
          <w:sz w:val="26"/>
          <w:szCs w:val="26"/>
          <w:u w:val="single"/>
          <w:rtl/>
        </w:rPr>
      </w:pPr>
      <w:r w:rsidRPr="0071117D">
        <w:rPr>
          <w:rFonts w:cs="David" w:hint="cs"/>
          <w:b/>
          <w:bCs/>
          <w:sz w:val="26"/>
          <w:szCs w:val="26"/>
          <w:u w:val="single"/>
          <w:rtl/>
        </w:rPr>
        <w:t xml:space="preserve">שיעור </w:t>
      </w:r>
      <w:r>
        <w:rPr>
          <w:rFonts w:cs="David" w:hint="cs"/>
          <w:b/>
          <w:bCs/>
          <w:sz w:val="26"/>
          <w:szCs w:val="26"/>
          <w:u w:val="single"/>
          <w:rtl/>
        </w:rPr>
        <w:t>7</w:t>
      </w:r>
      <w:r w:rsidRPr="0071117D">
        <w:rPr>
          <w:rFonts w:cs="David" w:hint="cs"/>
          <w:b/>
          <w:bCs/>
          <w:sz w:val="26"/>
          <w:szCs w:val="26"/>
          <w:u w:val="single"/>
          <w:rtl/>
        </w:rPr>
        <w:t xml:space="preserve"> (</w:t>
      </w:r>
      <w:r w:rsidR="00CC7767">
        <w:rPr>
          <w:rFonts w:cs="David" w:hint="cs"/>
          <w:b/>
          <w:bCs/>
          <w:sz w:val="26"/>
          <w:szCs w:val="26"/>
          <w:u w:val="single"/>
          <w:rtl/>
        </w:rPr>
        <w:t>4.5</w:t>
      </w:r>
      <w:r w:rsidRPr="0071117D">
        <w:rPr>
          <w:rFonts w:cs="David" w:hint="cs"/>
          <w:b/>
          <w:bCs/>
          <w:sz w:val="26"/>
          <w:szCs w:val="26"/>
          <w:u w:val="single"/>
          <w:rtl/>
        </w:rPr>
        <w:t xml:space="preserve">) </w:t>
      </w:r>
      <w:r w:rsidRPr="0071117D">
        <w:rPr>
          <w:rFonts w:cs="David"/>
          <w:b/>
          <w:bCs/>
          <w:sz w:val="26"/>
          <w:szCs w:val="26"/>
          <w:u w:val="single"/>
          <w:rtl/>
        </w:rPr>
        <w:t>–</w:t>
      </w:r>
      <w:r w:rsidRPr="0071117D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David" w:hint="cs"/>
          <w:b/>
          <w:bCs/>
          <w:sz w:val="26"/>
          <w:szCs w:val="26"/>
          <w:u w:val="single"/>
          <w:rtl/>
        </w:rPr>
        <w:t>העולם ההלניסטי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אפיקורוס (2011), </w:t>
      </w:r>
      <w:r w:rsidRPr="002F7F94">
        <w:rPr>
          <w:rFonts w:cs="David" w:hint="cs"/>
          <w:b/>
          <w:bCs/>
          <w:sz w:val="26"/>
          <w:szCs w:val="26"/>
          <w:rtl/>
        </w:rPr>
        <w:t>אמרות היסוד: על האושר וההנאות האמתיות</w:t>
      </w:r>
      <w:r>
        <w:rPr>
          <w:rFonts w:cs="David" w:hint="cs"/>
          <w:sz w:val="26"/>
          <w:szCs w:val="26"/>
          <w:rtl/>
        </w:rPr>
        <w:t>, בנימינה: נהר ספרים, עמ' 19-33.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סנקה, ל. א. (2010), </w:t>
      </w:r>
      <w:r w:rsidRPr="00215A69">
        <w:rPr>
          <w:rFonts w:cs="David" w:hint="cs"/>
          <w:b/>
          <w:bCs/>
          <w:sz w:val="26"/>
          <w:szCs w:val="26"/>
          <w:rtl/>
        </w:rPr>
        <w:t>על החיים המאושרים</w:t>
      </w:r>
      <w:r>
        <w:rPr>
          <w:rFonts w:cs="David" w:hint="cs"/>
          <w:sz w:val="26"/>
          <w:szCs w:val="26"/>
          <w:rtl/>
        </w:rPr>
        <w:t>, פרקים 1-16, בנימינה: נהר ספרים, עמ' 13 -44.</w:t>
      </w:r>
    </w:p>
    <w:p w:rsidR="00886769" w:rsidRDefault="00886769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אפיקטטוס (2010), </w:t>
      </w:r>
      <w:r w:rsidRPr="00886769">
        <w:rPr>
          <w:rFonts w:cs="David" w:hint="cs"/>
          <w:b/>
          <w:bCs/>
          <w:sz w:val="26"/>
          <w:szCs w:val="26"/>
          <w:rtl/>
        </w:rPr>
        <w:t>המדריך</w:t>
      </w:r>
      <w:r>
        <w:rPr>
          <w:rFonts w:cs="David" w:hint="cs"/>
          <w:sz w:val="26"/>
          <w:szCs w:val="26"/>
          <w:rtl/>
        </w:rPr>
        <w:t xml:space="preserve">, פרקים 1-5, בנימינה: נהר ספרים, עמ' 11-19. 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u w:val="single"/>
        </w:rPr>
      </w:pPr>
      <w:r w:rsidRPr="00215A69">
        <w:rPr>
          <w:rFonts w:cs="David" w:hint="cs"/>
          <w:sz w:val="26"/>
          <w:szCs w:val="26"/>
          <w:u w:val="single"/>
          <w:rtl/>
        </w:rPr>
        <w:t xml:space="preserve">לעזרה: </w:t>
      </w:r>
    </w:p>
    <w:p w:rsidR="00E618F6" w:rsidRPr="00215A69" w:rsidRDefault="00E618F6" w:rsidP="00E618F6">
      <w:pPr>
        <w:spacing w:line="276" w:lineRule="auto"/>
        <w:jc w:val="right"/>
        <w:rPr>
          <w:rFonts w:ascii="David" w:hAnsi="David" w:cs="David"/>
          <w:sz w:val="26"/>
          <w:szCs w:val="26"/>
          <w:rtl/>
        </w:rPr>
      </w:pPr>
      <w:r w:rsidRPr="00215A69">
        <w:rPr>
          <w:rFonts w:ascii="David" w:hAnsi="David" w:cs="David"/>
          <w:sz w:val="26"/>
          <w:szCs w:val="26"/>
        </w:rPr>
        <w:t>Irwin, t</w:t>
      </w:r>
      <w:r>
        <w:rPr>
          <w:rFonts w:ascii="David" w:hAnsi="David" w:cs="David"/>
          <w:sz w:val="26"/>
          <w:szCs w:val="26"/>
        </w:rPr>
        <w:t>.</w:t>
      </w:r>
      <w:r w:rsidRPr="00215A69">
        <w:rPr>
          <w:rFonts w:ascii="David" w:hAnsi="David" w:cs="David"/>
          <w:sz w:val="26"/>
          <w:szCs w:val="26"/>
        </w:rPr>
        <w:t xml:space="preserve"> (1995), </w:t>
      </w:r>
      <w:r w:rsidRPr="00215A69">
        <w:rPr>
          <w:rFonts w:ascii="David" w:hAnsi="David" w:cs="David"/>
          <w:b/>
          <w:bCs/>
          <w:sz w:val="26"/>
          <w:szCs w:val="26"/>
        </w:rPr>
        <w:t>Hellenistic Philosophy</w:t>
      </w:r>
      <w:r w:rsidRPr="00215A69">
        <w:rPr>
          <w:rFonts w:ascii="David" w:hAnsi="David" w:cs="David"/>
          <w:sz w:val="26"/>
          <w:szCs w:val="26"/>
        </w:rPr>
        <w:t>, Classical philosophy (Series); v.008</w:t>
      </w:r>
    </w:p>
    <w:p w:rsidR="00E618F6" w:rsidRPr="00E93E87" w:rsidRDefault="00E618F6" w:rsidP="00E618F6">
      <w:pPr>
        <w:spacing w:line="276" w:lineRule="auto"/>
        <w:rPr>
          <w:rFonts w:cs="David"/>
          <w:b/>
          <w:bCs/>
          <w:sz w:val="26"/>
          <w:szCs w:val="26"/>
          <w:rtl/>
        </w:rPr>
      </w:pPr>
      <w:r w:rsidRPr="00E93E87">
        <w:rPr>
          <w:rFonts w:cs="David" w:hint="cs"/>
          <w:b/>
          <w:bCs/>
          <w:sz w:val="26"/>
          <w:szCs w:val="26"/>
          <w:rtl/>
        </w:rPr>
        <w:t>קבלת מטלה ראשונה</w:t>
      </w:r>
    </w:p>
    <w:p w:rsidR="00E618F6" w:rsidRDefault="00E618F6" w:rsidP="00E618F6">
      <w:pPr>
        <w:spacing w:line="276" w:lineRule="auto"/>
        <w:rPr>
          <w:rFonts w:cs="David"/>
          <w:b/>
          <w:bCs/>
          <w:sz w:val="26"/>
          <w:szCs w:val="26"/>
          <w:u w:val="single"/>
          <w:rtl/>
        </w:rPr>
      </w:pPr>
    </w:p>
    <w:p w:rsidR="00E618F6" w:rsidRPr="00B813F4" w:rsidRDefault="00E618F6" w:rsidP="00CC7767">
      <w:pPr>
        <w:spacing w:line="276" w:lineRule="auto"/>
        <w:rPr>
          <w:rFonts w:cs="David"/>
          <w:b/>
          <w:bCs/>
          <w:sz w:val="26"/>
          <w:szCs w:val="26"/>
          <w:u w:val="single"/>
          <w:rtl/>
        </w:rPr>
      </w:pPr>
      <w:r w:rsidRPr="00B813F4">
        <w:rPr>
          <w:rFonts w:cs="David" w:hint="cs"/>
          <w:b/>
          <w:bCs/>
          <w:sz w:val="26"/>
          <w:szCs w:val="26"/>
          <w:u w:val="single"/>
          <w:rtl/>
        </w:rPr>
        <w:t xml:space="preserve">שיעור </w:t>
      </w:r>
      <w:r>
        <w:rPr>
          <w:rFonts w:cs="David" w:hint="cs"/>
          <w:b/>
          <w:bCs/>
          <w:sz w:val="26"/>
          <w:szCs w:val="26"/>
          <w:u w:val="single"/>
          <w:rtl/>
        </w:rPr>
        <w:t>8</w:t>
      </w:r>
      <w:r w:rsidRPr="00B813F4">
        <w:rPr>
          <w:rFonts w:cs="David" w:hint="cs"/>
          <w:b/>
          <w:bCs/>
          <w:sz w:val="26"/>
          <w:szCs w:val="26"/>
          <w:u w:val="single"/>
          <w:rtl/>
        </w:rPr>
        <w:t xml:space="preserve"> (</w:t>
      </w:r>
      <w:r w:rsidR="00CC7767">
        <w:rPr>
          <w:rFonts w:cs="David" w:hint="cs"/>
          <w:b/>
          <w:bCs/>
          <w:sz w:val="26"/>
          <w:szCs w:val="26"/>
          <w:u w:val="single"/>
          <w:rtl/>
        </w:rPr>
        <w:t>11</w:t>
      </w:r>
      <w:r>
        <w:rPr>
          <w:rFonts w:cs="David" w:hint="cs"/>
          <w:b/>
          <w:bCs/>
          <w:sz w:val="26"/>
          <w:szCs w:val="26"/>
          <w:u w:val="single"/>
          <w:rtl/>
        </w:rPr>
        <w:t>.5</w:t>
      </w:r>
      <w:r w:rsidRPr="00B813F4">
        <w:rPr>
          <w:rFonts w:cs="David" w:hint="cs"/>
          <w:b/>
          <w:bCs/>
          <w:sz w:val="26"/>
          <w:szCs w:val="26"/>
          <w:u w:val="single"/>
          <w:rtl/>
        </w:rPr>
        <w:t xml:space="preserve">) </w:t>
      </w:r>
      <w:r w:rsidRPr="00B813F4">
        <w:rPr>
          <w:rFonts w:cs="David"/>
          <w:b/>
          <w:bCs/>
          <w:sz w:val="26"/>
          <w:szCs w:val="26"/>
          <w:u w:val="single"/>
          <w:rtl/>
        </w:rPr>
        <w:t>–</w:t>
      </w:r>
      <w:r w:rsidRPr="00B813F4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David" w:hint="cs"/>
          <w:b/>
          <w:bCs/>
          <w:sz w:val="26"/>
          <w:szCs w:val="26"/>
          <w:u w:val="single"/>
          <w:rtl/>
        </w:rPr>
        <w:t>מחשבה פוליטית בימי הביניים: הכנסייה והמדינה</w:t>
      </w:r>
      <w:r w:rsidRPr="00B813F4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 w:rsidRPr="00B813F4">
        <w:rPr>
          <w:rFonts w:cs="David"/>
          <w:sz w:val="26"/>
          <w:szCs w:val="26"/>
          <w:rtl/>
        </w:rPr>
        <w:t>"</w:t>
      </w:r>
      <w:r w:rsidRPr="00B813F4">
        <w:rPr>
          <w:rFonts w:cs="David" w:hint="cs"/>
          <w:sz w:val="26"/>
          <w:szCs w:val="26"/>
          <w:rtl/>
        </w:rPr>
        <w:t>הדרשה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על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ההר</w:t>
      </w:r>
      <w:r w:rsidRPr="00B813F4">
        <w:rPr>
          <w:rFonts w:cs="David"/>
          <w:sz w:val="26"/>
          <w:szCs w:val="26"/>
          <w:rtl/>
        </w:rPr>
        <w:t>"</w:t>
      </w:r>
      <w:r>
        <w:rPr>
          <w:rFonts w:cs="David" w:hint="cs"/>
          <w:sz w:val="26"/>
          <w:szCs w:val="26"/>
          <w:rtl/>
        </w:rPr>
        <w:t>,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b/>
          <w:bCs/>
          <w:sz w:val="26"/>
          <w:szCs w:val="26"/>
          <w:rtl/>
        </w:rPr>
        <w:t>הברית</w:t>
      </w:r>
      <w:r w:rsidRPr="00B813F4">
        <w:rPr>
          <w:rFonts w:cs="David"/>
          <w:b/>
          <w:bCs/>
          <w:sz w:val="26"/>
          <w:szCs w:val="26"/>
          <w:rtl/>
        </w:rPr>
        <w:t xml:space="preserve"> </w:t>
      </w:r>
      <w:r w:rsidRPr="00B813F4">
        <w:rPr>
          <w:rFonts w:cs="David" w:hint="cs"/>
          <w:b/>
          <w:bCs/>
          <w:sz w:val="26"/>
          <w:szCs w:val="26"/>
          <w:rtl/>
        </w:rPr>
        <w:t>החדשה</w:t>
      </w:r>
      <w:r w:rsidRPr="00B813F4">
        <w:rPr>
          <w:rFonts w:cs="David"/>
          <w:sz w:val="26"/>
          <w:szCs w:val="26"/>
          <w:rtl/>
        </w:rPr>
        <w:t xml:space="preserve">, </w:t>
      </w:r>
      <w:r w:rsidRPr="00B813F4">
        <w:rPr>
          <w:rFonts w:cs="David" w:hint="cs"/>
          <w:sz w:val="26"/>
          <w:szCs w:val="26"/>
          <w:rtl/>
        </w:rPr>
        <w:t>הבשורה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על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פי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מתי</w:t>
      </w:r>
      <w:r w:rsidRPr="00B813F4">
        <w:rPr>
          <w:rFonts w:cs="David"/>
          <w:sz w:val="26"/>
          <w:szCs w:val="26"/>
          <w:rtl/>
        </w:rPr>
        <w:t xml:space="preserve">, </w:t>
      </w:r>
      <w:r w:rsidRPr="00B813F4">
        <w:rPr>
          <w:rFonts w:cs="David" w:hint="cs"/>
          <w:sz w:val="26"/>
          <w:szCs w:val="26"/>
          <w:rtl/>
        </w:rPr>
        <w:t>פרק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ה</w:t>
      </w:r>
      <w:r w:rsidRPr="00B813F4">
        <w:rPr>
          <w:rFonts w:cs="David"/>
          <w:sz w:val="26"/>
          <w:szCs w:val="26"/>
          <w:rtl/>
        </w:rPr>
        <w:t>'.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אוגוסטינוס, "עיר האלוהים", בתוך </w:t>
      </w:r>
      <w:r w:rsidRPr="0071117D">
        <w:rPr>
          <w:rFonts w:cs="David" w:hint="cs"/>
          <w:b/>
          <w:bCs/>
          <w:sz w:val="26"/>
          <w:szCs w:val="26"/>
          <w:rtl/>
        </w:rPr>
        <w:t xml:space="preserve">המחשבה המדינית </w:t>
      </w:r>
      <w:r w:rsidRPr="0071117D">
        <w:rPr>
          <w:rFonts w:cs="David"/>
          <w:b/>
          <w:bCs/>
          <w:sz w:val="26"/>
          <w:szCs w:val="26"/>
          <w:rtl/>
        </w:rPr>
        <w:t>–</w:t>
      </w:r>
      <w:r w:rsidRPr="0071117D">
        <w:rPr>
          <w:rFonts w:cs="David" w:hint="cs"/>
          <w:b/>
          <w:bCs/>
          <w:sz w:val="26"/>
          <w:szCs w:val="26"/>
          <w:rtl/>
        </w:rPr>
        <w:t xml:space="preserve"> מבחר כתבים</w:t>
      </w:r>
      <w:r>
        <w:rPr>
          <w:rFonts w:cs="David" w:hint="cs"/>
          <w:sz w:val="26"/>
          <w:szCs w:val="26"/>
          <w:rtl/>
        </w:rPr>
        <w:t>, זיסר ברוך (עורך), ת"א וירושלים: שוקן, עמ' 79- 92.</w:t>
      </w:r>
    </w:p>
    <w:p w:rsidR="00E618F6" w:rsidRDefault="00E618F6" w:rsidP="00E618F6">
      <w:pPr>
        <w:spacing w:line="276" w:lineRule="auto"/>
        <w:ind w:left="26"/>
        <w:jc w:val="both"/>
        <w:rPr>
          <w:rFonts w:cs="David"/>
          <w:sz w:val="26"/>
          <w:szCs w:val="26"/>
          <w:rtl/>
        </w:rPr>
      </w:pPr>
      <w:r w:rsidRPr="0071117D">
        <w:rPr>
          <w:rFonts w:cs="David"/>
          <w:sz w:val="26"/>
          <w:szCs w:val="26"/>
          <w:rtl/>
        </w:rPr>
        <w:t xml:space="preserve">אקווינס תומס, </w:t>
      </w:r>
      <w:r>
        <w:rPr>
          <w:rFonts w:cs="David" w:hint="cs"/>
          <w:sz w:val="26"/>
          <w:szCs w:val="26"/>
          <w:rtl/>
        </w:rPr>
        <w:t>"</w:t>
      </w:r>
      <w:r w:rsidRPr="0071117D">
        <w:rPr>
          <w:rFonts w:cs="David"/>
          <w:sz w:val="26"/>
          <w:szCs w:val="26"/>
          <w:rtl/>
        </w:rPr>
        <w:t>סיכום התיאולוגיה</w:t>
      </w:r>
      <w:r>
        <w:rPr>
          <w:rFonts w:cs="David" w:hint="cs"/>
          <w:sz w:val="26"/>
          <w:szCs w:val="26"/>
          <w:rtl/>
        </w:rPr>
        <w:t>"</w:t>
      </w:r>
      <w:r w:rsidRPr="0071117D">
        <w:rPr>
          <w:rFonts w:cs="David"/>
          <w:sz w:val="26"/>
          <w:szCs w:val="26"/>
          <w:rtl/>
        </w:rPr>
        <w:t xml:space="preserve">, </w:t>
      </w:r>
      <w:r>
        <w:rPr>
          <w:rFonts w:cs="David" w:hint="cs"/>
          <w:sz w:val="26"/>
          <w:szCs w:val="26"/>
          <w:rtl/>
        </w:rPr>
        <w:t xml:space="preserve">בתוך </w:t>
      </w:r>
      <w:r w:rsidRPr="0071117D">
        <w:rPr>
          <w:rFonts w:cs="David" w:hint="cs"/>
          <w:b/>
          <w:bCs/>
          <w:sz w:val="26"/>
          <w:szCs w:val="26"/>
          <w:rtl/>
        </w:rPr>
        <w:t xml:space="preserve">המחשבה המדינית </w:t>
      </w:r>
      <w:r w:rsidRPr="0071117D">
        <w:rPr>
          <w:rFonts w:cs="David"/>
          <w:b/>
          <w:bCs/>
          <w:sz w:val="26"/>
          <w:szCs w:val="26"/>
          <w:rtl/>
        </w:rPr>
        <w:t>–</w:t>
      </w:r>
      <w:r w:rsidRPr="0071117D">
        <w:rPr>
          <w:rFonts w:cs="David" w:hint="cs"/>
          <w:b/>
          <w:bCs/>
          <w:sz w:val="26"/>
          <w:szCs w:val="26"/>
          <w:rtl/>
        </w:rPr>
        <w:t xml:space="preserve"> מבחר כתבים</w:t>
      </w:r>
      <w:r>
        <w:rPr>
          <w:rFonts w:cs="David" w:hint="cs"/>
          <w:sz w:val="26"/>
          <w:szCs w:val="26"/>
          <w:rtl/>
        </w:rPr>
        <w:t>, זיסר ברוך (עורך), ת"א וירושלים: שוקן, עמ'</w:t>
      </w:r>
      <w:r w:rsidRPr="0071117D">
        <w:rPr>
          <w:rFonts w:cs="David"/>
          <w:sz w:val="26"/>
          <w:szCs w:val="26"/>
          <w:rtl/>
        </w:rPr>
        <w:t xml:space="preserve"> 111 – 119.</w:t>
      </w:r>
    </w:p>
    <w:p w:rsidR="00E618F6" w:rsidRDefault="00E618F6" w:rsidP="00E618F6">
      <w:pPr>
        <w:spacing w:line="276" w:lineRule="auto"/>
        <w:ind w:left="26"/>
        <w:jc w:val="both"/>
        <w:rPr>
          <w:rFonts w:cs="David"/>
          <w:sz w:val="26"/>
          <w:szCs w:val="26"/>
          <w:rtl/>
        </w:rPr>
      </w:pPr>
      <w:r w:rsidRPr="00B813F4">
        <w:rPr>
          <w:rFonts w:cs="David" w:hint="cs"/>
          <w:sz w:val="26"/>
          <w:szCs w:val="26"/>
          <w:rtl/>
        </w:rPr>
        <w:t>לותר</w:t>
      </w:r>
      <w:r w:rsidRPr="00B813F4">
        <w:rPr>
          <w:rFonts w:cs="David"/>
          <w:sz w:val="26"/>
          <w:szCs w:val="26"/>
          <w:rtl/>
        </w:rPr>
        <w:t xml:space="preserve">, </w:t>
      </w:r>
      <w:r w:rsidRPr="00B813F4">
        <w:rPr>
          <w:rFonts w:cs="David" w:hint="cs"/>
          <w:sz w:val="26"/>
          <w:szCs w:val="26"/>
          <w:rtl/>
        </w:rPr>
        <w:t>מ</w:t>
      </w:r>
      <w:r w:rsidRPr="00B813F4">
        <w:rPr>
          <w:rFonts w:cs="David"/>
          <w:sz w:val="26"/>
          <w:szCs w:val="26"/>
          <w:rtl/>
        </w:rPr>
        <w:t>. (2001), "</w:t>
      </w:r>
      <w:r w:rsidRPr="00B813F4">
        <w:rPr>
          <w:rFonts w:cs="David" w:hint="cs"/>
          <w:sz w:val="26"/>
          <w:szCs w:val="26"/>
          <w:rtl/>
        </w:rPr>
        <w:t>דיון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לשם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בירור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תוקפם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של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שטרי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המחילה</w:t>
      </w:r>
      <w:r w:rsidRPr="00B813F4">
        <w:rPr>
          <w:rFonts w:cs="David"/>
          <w:sz w:val="26"/>
          <w:szCs w:val="26"/>
          <w:rtl/>
        </w:rPr>
        <w:t xml:space="preserve">" (95 </w:t>
      </w:r>
      <w:r w:rsidRPr="00B813F4">
        <w:rPr>
          <w:rFonts w:cs="David" w:hint="cs"/>
          <w:sz w:val="26"/>
          <w:szCs w:val="26"/>
          <w:rtl/>
        </w:rPr>
        <w:t>התזות</w:t>
      </w:r>
      <w:r w:rsidRPr="00B813F4">
        <w:rPr>
          <w:rFonts w:cs="David"/>
          <w:sz w:val="26"/>
          <w:szCs w:val="26"/>
          <w:rtl/>
        </w:rPr>
        <w:t xml:space="preserve">) </w:t>
      </w:r>
      <w:r w:rsidRPr="00B813F4">
        <w:rPr>
          <w:rFonts w:cs="David" w:hint="cs"/>
          <w:sz w:val="26"/>
          <w:szCs w:val="26"/>
          <w:rtl/>
        </w:rPr>
        <w:t>ו</w:t>
      </w:r>
      <w:r w:rsidRPr="00B813F4">
        <w:rPr>
          <w:rFonts w:cs="David"/>
          <w:sz w:val="26"/>
          <w:szCs w:val="26"/>
          <w:rtl/>
        </w:rPr>
        <w:t>"</w:t>
      </w:r>
      <w:r w:rsidRPr="00B813F4">
        <w:rPr>
          <w:rFonts w:cs="David" w:hint="cs"/>
          <w:sz w:val="26"/>
          <w:szCs w:val="26"/>
          <w:rtl/>
        </w:rPr>
        <w:t>אל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האצולה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הנוצרית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של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האומה</w:t>
      </w:r>
      <w:r w:rsidRPr="00B813F4">
        <w:rPr>
          <w:rFonts w:cs="David"/>
          <w:sz w:val="26"/>
          <w:szCs w:val="26"/>
          <w:rtl/>
        </w:rPr>
        <w:t xml:space="preserve"> </w:t>
      </w:r>
      <w:r w:rsidRPr="00B813F4">
        <w:rPr>
          <w:rFonts w:cs="David" w:hint="cs"/>
          <w:sz w:val="26"/>
          <w:szCs w:val="26"/>
          <w:rtl/>
        </w:rPr>
        <w:t>הגרמנית</w:t>
      </w:r>
      <w:r w:rsidRPr="00B813F4">
        <w:rPr>
          <w:rFonts w:cs="David"/>
          <w:sz w:val="26"/>
          <w:szCs w:val="26"/>
          <w:rtl/>
        </w:rPr>
        <w:t xml:space="preserve">", </w:t>
      </w:r>
      <w:r w:rsidRPr="00B813F4">
        <w:rPr>
          <w:rFonts w:cs="David" w:hint="cs"/>
          <w:sz w:val="26"/>
          <w:szCs w:val="26"/>
          <w:rtl/>
        </w:rPr>
        <w:t>בתוך</w:t>
      </w:r>
      <w:r w:rsidRPr="00B813F4">
        <w:rPr>
          <w:rFonts w:cs="David"/>
          <w:sz w:val="26"/>
          <w:szCs w:val="26"/>
          <w:rtl/>
        </w:rPr>
        <w:t xml:space="preserve"> </w:t>
      </w:r>
      <w:r w:rsidRPr="00E74B08">
        <w:rPr>
          <w:rFonts w:cs="David" w:hint="cs"/>
          <w:b/>
          <w:bCs/>
          <w:sz w:val="26"/>
          <w:szCs w:val="26"/>
          <w:rtl/>
        </w:rPr>
        <w:t>ארבעה</w:t>
      </w:r>
      <w:r w:rsidRPr="00E74B08">
        <w:rPr>
          <w:rFonts w:cs="David"/>
          <w:b/>
          <w:bCs/>
          <w:sz w:val="26"/>
          <w:szCs w:val="26"/>
          <w:rtl/>
        </w:rPr>
        <w:t xml:space="preserve"> </w:t>
      </w:r>
      <w:r w:rsidRPr="00E74B08">
        <w:rPr>
          <w:rFonts w:cs="David" w:hint="cs"/>
          <w:b/>
          <w:bCs/>
          <w:sz w:val="26"/>
          <w:szCs w:val="26"/>
          <w:rtl/>
        </w:rPr>
        <w:t>חיבורים</w:t>
      </w:r>
      <w:r w:rsidRPr="00E74B08">
        <w:rPr>
          <w:rFonts w:cs="David"/>
          <w:b/>
          <w:bCs/>
          <w:sz w:val="26"/>
          <w:szCs w:val="26"/>
          <w:rtl/>
        </w:rPr>
        <w:t xml:space="preserve"> </w:t>
      </w:r>
      <w:r w:rsidRPr="00E74B08">
        <w:rPr>
          <w:rFonts w:cs="David" w:hint="cs"/>
          <w:b/>
          <w:bCs/>
          <w:sz w:val="26"/>
          <w:szCs w:val="26"/>
          <w:rtl/>
        </w:rPr>
        <w:t>תיאולוגיים</w:t>
      </w:r>
      <w:r w:rsidRPr="00B813F4">
        <w:rPr>
          <w:rFonts w:cs="David"/>
          <w:sz w:val="26"/>
          <w:szCs w:val="26"/>
          <w:rtl/>
        </w:rPr>
        <w:t xml:space="preserve">, </w:t>
      </w:r>
      <w:r w:rsidRPr="00B813F4">
        <w:rPr>
          <w:rFonts w:cs="David" w:hint="cs"/>
          <w:sz w:val="26"/>
          <w:szCs w:val="26"/>
          <w:rtl/>
        </w:rPr>
        <w:t>ת</w:t>
      </w:r>
      <w:r w:rsidRPr="00B813F4">
        <w:rPr>
          <w:rFonts w:cs="David"/>
          <w:sz w:val="26"/>
          <w:szCs w:val="26"/>
          <w:rtl/>
        </w:rPr>
        <w:t>"</w:t>
      </w:r>
      <w:r w:rsidRPr="00B813F4">
        <w:rPr>
          <w:rFonts w:cs="David" w:hint="cs"/>
          <w:sz w:val="26"/>
          <w:szCs w:val="26"/>
          <w:rtl/>
        </w:rPr>
        <w:t>א</w:t>
      </w:r>
      <w:r w:rsidRPr="00B813F4">
        <w:rPr>
          <w:rFonts w:cs="David"/>
          <w:sz w:val="26"/>
          <w:szCs w:val="26"/>
          <w:rtl/>
        </w:rPr>
        <w:t xml:space="preserve">: </w:t>
      </w:r>
      <w:r w:rsidRPr="00B813F4">
        <w:rPr>
          <w:rFonts w:cs="David" w:hint="cs"/>
          <w:sz w:val="26"/>
          <w:szCs w:val="26"/>
          <w:rtl/>
        </w:rPr>
        <w:t>רמות</w:t>
      </w:r>
      <w:r w:rsidRPr="00B813F4">
        <w:rPr>
          <w:rFonts w:cs="David"/>
          <w:sz w:val="26"/>
          <w:szCs w:val="26"/>
          <w:rtl/>
        </w:rPr>
        <w:t xml:space="preserve">, </w:t>
      </w:r>
      <w:r w:rsidRPr="00B813F4">
        <w:rPr>
          <w:rFonts w:cs="David" w:hint="cs"/>
          <w:sz w:val="26"/>
          <w:szCs w:val="26"/>
          <w:rtl/>
        </w:rPr>
        <w:t>עמ</w:t>
      </w:r>
      <w:r w:rsidRPr="00B813F4">
        <w:rPr>
          <w:rFonts w:cs="David"/>
          <w:sz w:val="26"/>
          <w:szCs w:val="26"/>
          <w:rtl/>
        </w:rPr>
        <w:t>' 17-24, 27-40.</w:t>
      </w:r>
    </w:p>
    <w:p w:rsidR="00E618F6" w:rsidRDefault="00E618F6" w:rsidP="00E618F6">
      <w:pPr>
        <w:spacing w:line="276" w:lineRule="auto"/>
        <w:ind w:left="26"/>
        <w:jc w:val="both"/>
        <w:rPr>
          <w:rFonts w:cs="David"/>
          <w:sz w:val="26"/>
          <w:szCs w:val="26"/>
          <w:rtl/>
        </w:rPr>
      </w:pPr>
      <w:r w:rsidRPr="00C86228">
        <w:rPr>
          <w:rFonts w:cs="David" w:hint="cs"/>
          <w:sz w:val="26"/>
          <w:szCs w:val="26"/>
          <w:u w:val="single"/>
          <w:rtl/>
        </w:rPr>
        <w:t>לעזרה</w:t>
      </w:r>
      <w:r>
        <w:rPr>
          <w:rFonts w:cs="David" w:hint="cs"/>
          <w:sz w:val="26"/>
          <w:szCs w:val="26"/>
          <w:rtl/>
        </w:rPr>
        <w:t xml:space="preserve">: סאביין, ג'. (1963), </w:t>
      </w:r>
      <w:r w:rsidRPr="00FD71CC">
        <w:rPr>
          <w:rFonts w:cs="David" w:hint="cs"/>
          <w:b/>
          <w:bCs/>
          <w:sz w:val="26"/>
          <w:szCs w:val="26"/>
          <w:rtl/>
        </w:rPr>
        <w:t>תולדות תורת המדינה</w:t>
      </w:r>
      <w:r>
        <w:rPr>
          <w:rFonts w:cs="David" w:hint="cs"/>
          <w:sz w:val="26"/>
          <w:szCs w:val="26"/>
          <w:rtl/>
        </w:rPr>
        <w:t>, ת"א: יחדיו, כרך א', פרק 10, עמ' 189-212, ופרק 13, עמ' 259-278.</w:t>
      </w:r>
    </w:p>
    <w:p w:rsidR="00E618F6" w:rsidRDefault="00E618F6" w:rsidP="00E618F6">
      <w:pPr>
        <w:spacing w:line="276" w:lineRule="auto"/>
        <w:ind w:left="26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מנשה, ס. (2007), </w:t>
      </w:r>
      <w:r w:rsidRPr="00FD71CC">
        <w:rPr>
          <w:rFonts w:cs="David" w:hint="cs"/>
          <w:b/>
          <w:bCs/>
          <w:sz w:val="26"/>
          <w:szCs w:val="26"/>
          <w:rtl/>
        </w:rPr>
        <w:t>פרקים בתולדות הרעיון המדיני בימי הביניים</w:t>
      </w:r>
      <w:r>
        <w:rPr>
          <w:rFonts w:cs="David" w:hint="cs"/>
          <w:sz w:val="26"/>
          <w:szCs w:val="26"/>
          <w:rtl/>
        </w:rPr>
        <w:t>, משרד הביטחון: האוניברסיטה המשודרת, פרק ג', עמ' 36-45, ופרק ח', עמ' 94-112.</w:t>
      </w:r>
    </w:p>
    <w:p w:rsidR="00E618F6" w:rsidRPr="00B813F4" w:rsidRDefault="00E618F6" w:rsidP="00E618F6">
      <w:pPr>
        <w:spacing w:line="276" w:lineRule="auto"/>
        <w:ind w:left="26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שחר, ש. (2016), </w:t>
      </w:r>
      <w:r w:rsidRPr="00E74B08">
        <w:rPr>
          <w:rFonts w:cs="David" w:hint="cs"/>
          <w:b/>
          <w:bCs/>
          <w:sz w:val="26"/>
          <w:szCs w:val="26"/>
          <w:rtl/>
        </w:rPr>
        <w:t>מורשת ימי הביניים</w:t>
      </w:r>
      <w:r>
        <w:rPr>
          <w:rFonts w:cs="David" w:hint="cs"/>
          <w:sz w:val="26"/>
          <w:szCs w:val="26"/>
          <w:rtl/>
        </w:rPr>
        <w:t>, מודן/משרד הביטחון: האוניברסיטה המשודרת, פרקים ו'- ח', עמ' 46-68.</w:t>
      </w:r>
    </w:p>
    <w:p w:rsidR="00E618F6" w:rsidRPr="00FD71CC" w:rsidRDefault="00E618F6" w:rsidP="00E618F6">
      <w:pPr>
        <w:spacing w:line="276" w:lineRule="auto"/>
        <w:ind w:left="26"/>
        <w:jc w:val="both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הגשת מטלה ראשונה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u w:val="single"/>
          <w:rtl/>
        </w:rPr>
      </w:pPr>
    </w:p>
    <w:p w:rsidR="00E618F6" w:rsidRDefault="00E618F6" w:rsidP="00E618F6">
      <w:pPr>
        <w:spacing w:line="276" w:lineRule="auto"/>
        <w:rPr>
          <w:rFonts w:cs="David"/>
          <w:sz w:val="26"/>
          <w:szCs w:val="26"/>
          <w:u w:val="single"/>
          <w:rtl/>
        </w:rPr>
      </w:pPr>
    </w:p>
    <w:p w:rsidR="00E618F6" w:rsidRDefault="00E618F6" w:rsidP="00E618F6">
      <w:pPr>
        <w:spacing w:line="276" w:lineRule="auto"/>
        <w:jc w:val="center"/>
        <w:rPr>
          <w:rFonts w:cs="David"/>
          <w:sz w:val="26"/>
          <w:szCs w:val="26"/>
          <w:rtl/>
        </w:rPr>
      </w:pPr>
      <w:r w:rsidRPr="0074290F">
        <w:rPr>
          <w:rFonts w:cs="David" w:hint="cs"/>
          <w:b/>
          <w:bCs/>
          <w:sz w:val="32"/>
          <w:szCs w:val="32"/>
          <w:rtl/>
        </w:rPr>
        <w:t xml:space="preserve">חלק ב' </w:t>
      </w:r>
      <w:r w:rsidRPr="0074290F">
        <w:rPr>
          <w:rFonts w:cs="David"/>
          <w:b/>
          <w:bCs/>
          <w:sz w:val="32"/>
          <w:szCs w:val="32"/>
          <w:rtl/>
        </w:rPr>
        <w:t>–</w:t>
      </w:r>
      <w:r w:rsidRPr="0074290F">
        <w:rPr>
          <w:rFonts w:cs="David" w:hint="cs"/>
          <w:b/>
          <w:bCs/>
          <w:sz w:val="32"/>
          <w:szCs w:val="32"/>
          <w:rtl/>
        </w:rPr>
        <w:t xml:space="preserve"> </w:t>
      </w:r>
      <w:r>
        <w:rPr>
          <w:rFonts w:cs="David" w:hint="cs"/>
          <w:b/>
          <w:bCs/>
          <w:sz w:val="32"/>
          <w:szCs w:val="32"/>
          <w:rtl/>
        </w:rPr>
        <w:t xml:space="preserve">העת החדשה </w:t>
      </w:r>
    </w:p>
    <w:p w:rsidR="00E618F6" w:rsidRDefault="00E618F6" w:rsidP="00E618F6">
      <w:pPr>
        <w:spacing w:line="276" w:lineRule="auto"/>
        <w:rPr>
          <w:rFonts w:cs="David"/>
          <w:b/>
          <w:bCs/>
          <w:i/>
          <w:iCs/>
          <w:sz w:val="26"/>
          <w:szCs w:val="26"/>
          <w:u w:val="single"/>
          <w:rtl/>
        </w:rPr>
      </w:pPr>
    </w:p>
    <w:p w:rsidR="00E618F6" w:rsidRPr="00FD71CC" w:rsidRDefault="00E618F6" w:rsidP="00CC7767">
      <w:pPr>
        <w:spacing w:line="276" w:lineRule="auto"/>
        <w:rPr>
          <w:rFonts w:cs="David"/>
          <w:sz w:val="26"/>
          <w:szCs w:val="26"/>
          <w:rtl/>
        </w:rPr>
      </w:pPr>
      <w:r w:rsidRPr="00FD71CC">
        <w:rPr>
          <w:rFonts w:cs="David" w:hint="cs"/>
          <w:b/>
          <w:bCs/>
          <w:sz w:val="26"/>
          <w:szCs w:val="26"/>
          <w:u w:val="single"/>
          <w:rtl/>
        </w:rPr>
        <w:t xml:space="preserve">שיעור </w:t>
      </w:r>
      <w:r>
        <w:rPr>
          <w:rFonts w:cs="David" w:hint="cs"/>
          <w:b/>
          <w:bCs/>
          <w:sz w:val="26"/>
          <w:szCs w:val="26"/>
          <w:u w:val="single"/>
          <w:rtl/>
        </w:rPr>
        <w:t>9</w:t>
      </w:r>
      <w:r w:rsidRPr="00FD71CC">
        <w:rPr>
          <w:rFonts w:cs="David" w:hint="cs"/>
          <w:b/>
          <w:bCs/>
          <w:sz w:val="26"/>
          <w:szCs w:val="26"/>
          <w:u w:val="single"/>
          <w:rtl/>
        </w:rPr>
        <w:t xml:space="preserve"> (</w:t>
      </w:r>
      <w:r>
        <w:rPr>
          <w:rFonts w:cs="David" w:hint="cs"/>
          <w:b/>
          <w:bCs/>
          <w:sz w:val="26"/>
          <w:szCs w:val="26"/>
          <w:u w:val="single"/>
          <w:rtl/>
        </w:rPr>
        <w:t>1</w:t>
      </w:r>
      <w:r w:rsidR="00CC7767">
        <w:rPr>
          <w:rFonts w:cs="David" w:hint="cs"/>
          <w:b/>
          <w:bCs/>
          <w:sz w:val="26"/>
          <w:szCs w:val="26"/>
          <w:u w:val="single"/>
          <w:rtl/>
        </w:rPr>
        <w:t>8</w:t>
      </w:r>
      <w:r>
        <w:rPr>
          <w:rFonts w:cs="David" w:hint="cs"/>
          <w:b/>
          <w:bCs/>
          <w:sz w:val="26"/>
          <w:szCs w:val="26"/>
          <w:u w:val="single"/>
          <w:rtl/>
        </w:rPr>
        <w:t>.5</w:t>
      </w:r>
      <w:r w:rsidRPr="00FD71CC">
        <w:rPr>
          <w:rFonts w:cs="David" w:hint="cs"/>
          <w:b/>
          <w:bCs/>
          <w:sz w:val="26"/>
          <w:szCs w:val="26"/>
          <w:u w:val="single"/>
          <w:rtl/>
        </w:rPr>
        <w:t xml:space="preserve">) </w:t>
      </w:r>
      <w:r w:rsidRPr="00FD71CC">
        <w:rPr>
          <w:rFonts w:cs="David"/>
          <w:b/>
          <w:bCs/>
          <w:sz w:val="26"/>
          <w:szCs w:val="26"/>
          <w:u w:val="single"/>
          <w:rtl/>
        </w:rPr>
        <w:t>–</w:t>
      </w:r>
      <w:r w:rsidRPr="00FD71CC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היפרדות המדינה מהמוסר: </w:t>
      </w:r>
      <w:r w:rsidRPr="00FD71CC">
        <w:rPr>
          <w:rFonts w:cs="David"/>
          <w:b/>
          <w:bCs/>
          <w:sz w:val="26"/>
          <w:szCs w:val="26"/>
          <w:u w:val="single"/>
        </w:rPr>
        <w:t>Raison D’état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מקיאבלי, נ. (1961), "עיונים", ספר ראשון, פרקים ד', יא'-יב', כו', נח'. ו"</w:t>
      </w:r>
      <w:r w:rsidRPr="006B03CF">
        <w:rPr>
          <w:rFonts w:cs="David" w:hint="cs"/>
          <w:sz w:val="26"/>
          <w:szCs w:val="26"/>
          <w:rtl/>
        </w:rPr>
        <w:t>הנסיך</w:t>
      </w:r>
      <w:r>
        <w:rPr>
          <w:rFonts w:cs="David" w:hint="cs"/>
          <w:b/>
          <w:bCs/>
          <w:sz w:val="26"/>
          <w:szCs w:val="26"/>
          <w:rtl/>
        </w:rPr>
        <w:t>"</w:t>
      </w:r>
      <w:r>
        <w:rPr>
          <w:rFonts w:cs="David" w:hint="cs"/>
          <w:sz w:val="26"/>
          <w:szCs w:val="26"/>
          <w:rtl/>
        </w:rPr>
        <w:t xml:space="preserve">, פרקים 1-2, 7, 14- 19, 25. בתוך </w:t>
      </w:r>
      <w:r w:rsidRPr="006B03CF">
        <w:rPr>
          <w:rFonts w:cs="David" w:hint="cs"/>
          <w:b/>
          <w:bCs/>
          <w:sz w:val="26"/>
          <w:szCs w:val="26"/>
          <w:rtl/>
        </w:rPr>
        <w:t>כתבים פוליטיים</w:t>
      </w:r>
      <w:r>
        <w:rPr>
          <w:rFonts w:cs="David" w:hint="cs"/>
          <w:sz w:val="26"/>
          <w:szCs w:val="26"/>
          <w:rtl/>
        </w:rPr>
        <w:t>, ת"א: שוקן, עמ': 65-67, 78-84, 93-4, 108-114,</w:t>
      </w:r>
      <w:r w:rsidRPr="0029448F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168-170, 187-195, 218-242, 256-259.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u w:val="single"/>
          <w:rtl/>
        </w:rPr>
        <w:t>ל</w:t>
      </w:r>
      <w:r w:rsidRPr="00911463">
        <w:rPr>
          <w:rFonts w:cs="David" w:hint="cs"/>
          <w:sz w:val="26"/>
          <w:szCs w:val="26"/>
          <w:u w:val="single"/>
          <w:rtl/>
        </w:rPr>
        <w:t>עזרה</w:t>
      </w:r>
      <w:r>
        <w:rPr>
          <w:rFonts w:cs="David" w:hint="cs"/>
          <w:sz w:val="26"/>
          <w:szCs w:val="26"/>
          <w:rtl/>
        </w:rPr>
        <w:t>: מינדל, ג.ב. (2001), "הריאליזם של מקיאבלי", בתוך</w:t>
      </w:r>
      <w:r w:rsidRPr="00126010">
        <w:rPr>
          <w:rFonts w:cs="David" w:hint="cs"/>
          <w:b/>
          <w:bCs/>
          <w:sz w:val="26"/>
          <w:szCs w:val="26"/>
          <w:rtl/>
        </w:rPr>
        <w:t xml:space="preserve"> </w:t>
      </w:r>
      <w:r w:rsidRPr="00976EDD">
        <w:rPr>
          <w:rFonts w:cs="David" w:hint="cs"/>
          <w:b/>
          <w:bCs/>
          <w:sz w:val="26"/>
          <w:szCs w:val="26"/>
          <w:rtl/>
        </w:rPr>
        <w:t>תולדות המחשבה המדינית</w:t>
      </w:r>
      <w:r>
        <w:rPr>
          <w:rFonts w:cs="David" w:hint="cs"/>
          <w:sz w:val="26"/>
          <w:szCs w:val="26"/>
          <w:rtl/>
        </w:rPr>
        <w:t>, קרן, מ. (עורך), ת"א: האוניברסיטה הפתוחה, כרך א', עמ' 420-440.</w:t>
      </w:r>
    </w:p>
    <w:p w:rsidR="00886769" w:rsidRDefault="00886769" w:rsidP="00E618F6">
      <w:pPr>
        <w:spacing w:line="276" w:lineRule="auto"/>
        <w:rPr>
          <w:rFonts w:cs="David"/>
          <w:sz w:val="26"/>
          <w:szCs w:val="26"/>
          <w:rtl/>
        </w:rPr>
      </w:pPr>
    </w:p>
    <w:p w:rsidR="00E618F6" w:rsidRPr="0046206A" w:rsidRDefault="00E618F6" w:rsidP="00CC7767">
      <w:pPr>
        <w:spacing w:line="276" w:lineRule="auto"/>
        <w:rPr>
          <w:rFonts w:cs="David"/>
          <w:b/>
          <w:bCs/>
          <w:sz w:val="26"/>
          <w:szCs w:val="26"/>
          <w:u w:val="single"/>
          <w:rtl/>
        </w:rPr>
      </w:pPr>
      <w:r w:rsidRPr="0046206A">
        <w:rPr>
          <w:rFonts w:cs="David" w:hint="cs"/>
          <w:b/>
          <w:bCs/>
          <w:sz w:val="26"/>
          <w:szCs w:val="26"/>
          <w:u w:val="single"/>
          <w:rtl/>
        </w:rPr>
        <w:t xml:space="preserve">שיעור </w:t>
      </w:r>
      <w:r>
        <w:rPr>
          <w:rFonts w:cs="David" w:hint="cs"/>
          <w:b/>
          <w:bCs/>
          <w:sz w:val="26"/>
          <w:szCs w:val="26"/>
          <w:u w:val="single"/>
          <w:rtl/>
        </w:rPr>
        <w:t>10</w:t>
      </w:r>
      <w:r w:rsidRPr="0046206A">
        <w:rPr>
          <w:rFonts w:cs="David" w:hint="cs"/>
          <w:b/>
          <w:bCs/>
          <w:sz w:val="26"/>
          <w:szCs w:val="26"/>
          <w:u w:val="single"/>
          <w:rtl/>
        </w:rPr>
        <w:t xml:space="preserve"> (</w:t>
      </w:r>
      <w:r>
        <w:rPr>
          <w:rFonts w:cs="David" w:hint="cs"/>
          <w:b/>
          <w:bCs/>
          <w:sz w:val="26"/>
          <w:szCs w:val="26"/>
          <w:u w:val="single"/>
          <w:rtl/>
        </w:rPr>
        <w:t>2</w:t>
      </w:r>
      <w:r w:rsidR="00CC7767">
        <w:rPr>
          <w:rFonts w:cs="David" w:hint="cs"/>
          <w:b/>
          <w:bCs/>
          <w:sz w:val="26"/>
          <w:szCs w:val="26"/>
          <w:u w:val="single"/>
          <w:rtl/>
        </w:rPr>
        <w:t>5</w:t>
      </w:r>
      <w:r>
        <w:rPr>
          <w:rFonts w:cs="David" w:hint="cs"/>
          <w:b/>
          <w:bCs/>
          <w:sz w:val="26"/>
          <w:szCs w:val="26"/>
          <w:u w:val="single"/>
          <w:rtl/>
        </w:rPr>
        <w:t>.5</w:t>
      </w:r>
      <w:r w:rsidRPr="0046206A">
        <w:rPr>
          <w:rFonts w:cs="David" w:hint="cs"/>
          <w:b/>
          <w:bCs/>
          <w:sz w:val="26"/>
          <w:szCs w:val="26"/>
          <w:u w:val="single"/>
          <w:rtl/>
        </w:rPr>
        <w:t xml:space="preserve">) </w:t>
      </w:r>
      <w:r w:rsidRPr="0046206A">
        <w:rPr>
          <w:rFonts w:cs="David"/>
          <w:b/>
          <w:bCs/>
          <w:sz w:val="26"/>
          <w:szCs w:val="26"/>
          <w:u w:val="single"/>
          <w:rtl/>
        </w:rPr>
        <w:t>–</w:t>
      </w:r>
      <w:r w:rsidRPr="0046206A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David" w:hint="cs"/>
          <w:b/>
          <w:bCs/>
          <w:sz w:val="26"/>
          <w:szCs w:val="26"/>
          <w:u w:val="single"/>
          <w:rtl/>
        </w:rPr>
        <w:t>מאמנה חברתית ללוויתן</w:t>
      </w:r>
    </w:p>
    <w:p w:rsidR="00E618F6" w:rsidRPr="00914E81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 w:rsidRPr="00914E81">
        <w:rPr>
          <w:rFonts w:cs="David" w:hint="cs"/>
          <w:sz w:val="26"/>
          <w:szCs w:val="26"/>
          <w:rtl/>
        </w:rPr>
        <w:t>הובס, ת. (</w:t>
      </w:r>
      <w:r>
        <w:rPr>
          <w:rFonts w:cs="David" w:hint="cs"/>
          <w:sz w:val="26"/>
          <w:szCs w:val="26"/>
          <w:rtl/>
        </w:rPr>
        <w:t>2009</w:t>
      </w:r>
      <w:r w:rsidRPr="00914E81">
        <w:rPr>
          <w:rFonts w:cs="David" w:hint="cs"/>
          <w:sz w:val="26"/>
          <w:szCs w:val="26"/>
          <w:rtl/>
        </w:rPr>
        <w:t xml:space="preserve">), </w:t>
      </w:r>
      <w:r w:rsidRPr="00914E81">
        <w:rPr>
          <w:rFonts w:cs="David" w:hint="cs"/>
          <w:b/>
          <w:bCs/>
          <w:sz w:val="26"/>
          <w:szCs w:val="26"/>
          <w:rtl/>
        </w:rPr>
        <w:t>לוויתן</w:t>
      </w:r>
      <w:r w:rsidRPr="00914E81">
        <w:rPr>
          <w:rFonts w:cs="David" w:hint="cs"/>
          <w:sz w:val="26"/>
          <w:szCs w:val="26"/>
          <w:rtl/>
        </w:rPr>
        <w:t>, ירושלים</w:t>
      </w:r>
      <w:r>
        <w:rPr>
          <w:rFonts w:cs="David" w:hint="cs"/>
          <w:sz w:val="26"/>
          <w:szCs w:val="26"/>
          <w:rtl/>
        </w:rPr>
        <w:t>: שלם</w:t>
      </w:r>
      <w:r w:rsidRPr="00914E81">
        <w:rPr>
          <w:rFonts w:cs="David" w:hint="cs"/>
          <w:sz w:val="26"/>
          <w:szCs w:val="26"/>
          <w:rtl/>
        </w:rPr>
        <w:t>, חלק א', פ</w:t>
      </w:r>
      <w:r>
        <w:rPr>
          <w:rFonts w:cs="David" w:hint="cs"/>
          <w:sz w:val="26"/>
          <w:szCs w:val="26"/>
          <w:rtl/>
        </w:rPr>
        <w:t>רקים י"ג-ט"ו, י"ז-י"ח, כ"א. עמ' 86-112, 117-129, 146-155.</w:t>
      </w:r>
    </w:p>
    <w:p w:rsidR="00E618F6" w:rsidRPr="00657C9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 w:rsidRPr="00914E81">
        <w:rPr>
          <w:rFonts w:cs="David" w:hint="cs"/>
          <w:sz w:val="26"/>
          <w:szCs w:val="26"/>
          <w:u w:val="single"/>
          <w:rtl/>
        </w:rPr>
        <w:t>לעזרה</w:t>
      </w:r>
      <w:r w:rsidRPr="00914E81">
        <w:rPr>
          <w:rFonts w:cs="David" w:hint="cs"/>
          <w:sz w:val="26"/>
          <w:szCs w:val="26"/>
          <w:rtl/>
        </w:rPr>
        <w:t xml:space="preserve">: וינריב, א. (2008), </w:t>
      </w:r>
      <w:r w:rsidRPr="00914E81">
        <w:rPr>
          <w:rFonts w:cs="David" w:hint="cs"/>
          <w:b/>
          <w:bCs/>
          <w:sz w:val="26"/>
          <w:szCs w:val="26"/>
          <w:rtl/>
        </w:rPr>
        <w:t>בעיות בפילוסופיה של המוסר</w:t>
      </w:r>
      <w:r w:rsidRPr="00914E81">
        <w:rPr>
          <w:rFonts w:cs="David" w:hint="cs"/>
          <w:sz w:val="26"/>
          <w:szCs w:val="26"/>
          <w:rtl/>
        </w:rPr>
        <w:t>, מהדורה שנייה, ת"א</w:t>
      </w:r>
      <w:r>
        <w:rPr>
          <w:rFonts w:cs="David" w:hint="cs"/>
          <w:sz w:val="26"/>
          <w:szCs w:val="26"/>
          <w:rtl/>
        </w:rPr>
        <w:t>:</w:t>
      </w:r>
      <w:r w:rsidRPr="00657C96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האוניברסיטה הפתוחה</w:t>
      </w:r>
      <w:r w:rsidRPr="00914E81">
        <w:rPr>
          <w:rFonts w:cs="David" w:hint="cs"/>
          <w:sz w:val="26"/>
          <w:szCs w:val="26"/>
          <w:rtl/>
        </w:rPr>
        <w:t>, כרך א' יחידה 2, עמ' 101-172.</w:t>
      </w:r>
    </w:p>
    <w:p w:rsidR="00E618F6" w:rsidRPr="00914E81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</w:p>
    <w:p w:rsidR="00E618F6" w:rsidRPr="00657C96" w:rsidRDefault="00E618F6" w:rsidP="00CC7767">
      <w:pPr>
        <w:spacing w:line="276" w:lineRule="auto"/>
        <w:rPr>
          <w:rFonts w:cs="David"/>
          <w:b/>
          <w:bCs/>
          <w:sz w:val="26"/>
          <w:szCs w:val="26"/>
          <w:u w:val="single"/>
          <w:rtl/>
        </w:rPr>
      </w:pPr>
      <w:r w:rsidRPr="00657C96">
        <w:rPr>
          <w:rFonts w:cs="David" w:hint="cs"/>
          <w:b/>
          <w:bCs/>
          <w:sz w:val="26"/>
          <w:szCs w:val="26"/>
          <w:u w:val="single"/>
          <w:rtl/>
        </w:rPr>
        <w:t xml:space="preserve">שיעור </w:t>
      </w:r>
      <w:r>
        <w:rPr>
          <w:rFonts w:cs="David" w:hint="cs"/>
          <w:b/>
          <w:bCs/>
          <w:sz w:val="26"/>
          <w:szCs w:val="26"/>
          <w:u w:val="single"/>
          <w:rtl/>
        </w:rPr>
        <w:t>11</w:t>
      </w:r>
      <w:r w:rsidRPr="00657C96">
        <w:rPr>
          <w:rFonts w:cs="David" w:hint="cs"/>
          <w:b/>
          <w:bCs/>
          <w:sz w:val="26"/>
          <w:szCs w:val="26"/>
          <w:u w:val="single"/>
          <w:rtl/>
        </w:rPr>
        <w:t xml:space="preserve"> (</w:t>
      </w:r>
      <w:r w:rsidR="00CC7767">
        <w:rPr>
          <w:rFonts w:cs="David" w:hint="cs"/>
          <w:b/>
          <w:bCs/>
          <w:sz w:val="26"/>
          <w:szCs w:val="26"/>
          <w:u w:val="single"/>
          <w:rtl/>
        </w:rPr>
        <w:t>1.6</w:t>
      </w:r>
      <w:r w:rsidRPr="00657C96">
        <w:rPr>
          <w:rFonts w:cs="David" w:hint="cs"/>
          <w:b/>
          <w:bCs/>
          <w:sz w:val="26"/>
          <w:szCs w:val="26"/>
          <w:u w:val="single"/>
          <w:rtl/>
        </w:rPr>
        <w:t xml:space="preserve">) </w:t>
      </w:r>
      <w:r w:rsidRPr="00657C96">
        <w:rPr>
          <w:rFonts w:cs="David"/>
          <w:b/>
          <w:bCs/>
          <w:sz w:val="26"/>
          <w:szCs w:val="26"/>
          <w:u w:val="single"/>
          <w:rtl/>
        </w:rPr>
        <w:t>–</w:t>
      </w:r>
      <w:r w:rsidRPr="00657C96">
        <w:rPr>
          <w:rFonts w:cs="David" w:hint="cs"/>
          <w:b/>
          <w:bCs/>
          <w:sz w:val="26"/>
          <w:szCs w:val="26"/>
          <w:u w:val="single"/>
          <w:rtl/>
        </w:rPr>
        <w:t xml:space="preserve"> ליברליזם 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 w:rsidRPr="00914E81">
        <w:rPr>
          <w:rFonts w:cs="David" w:hint="cs"/>
          <w:sz w:val="26"/>
          <w:szCs w:val="26"/>
          <w:rtl/>
        </w:rPr>
        <w:t xml:space="preserve">לוק, ג'. (1997), </w:t>
      </w:r>
      <w:r w:rsidRPr="00914E81">
        <w:rPr>
          <w:rFonts w:cs="David" w:hint="cs"/>
          <w:b/>
          <w:bCs/>
          <w:sz w:val="26"/>
          <w:szCs w:val="26"/>
          <w:rtl/>
        </w:rPr>
        <w:t>על הממשל המדיני (המסכת השנייה)</w:t>
      </w:r>
      <w:r w:rsidRPr="00914E81">
        <w:rPr>
          <w:rFonts w:cs="David" w:hint="cs"/>
          <w:sz w:val="26"/>
          <w:szCs w:val="26"/>
          <w:rtl/>
        </w:rPr>
        <w:t>, ירושלים</w:t>
      </w:r>
      <w:r>
        <w:rPr>
          <w:rFonts w:cs="David" w:hint="cs"/>
          <w:sz w:val="26"/>
          <w:szCs w:val="26"/>
          <w:rtl/>
        </w:rPr>
        <w:t>: מאגנס</w:t>
      </w:r>
      <w:r w:rsidRPr="00914E81">
        <w:rPr>
          <w:rFonts w:cs="David" w:hint="cs"/>
          <w:sz w:val="26"/>
          <w:szCs w:val="26"/>
          <w:rtl/>
        </w:rPr>
        <w:t>, פרקים ב'-ה', ז'-ט', י"ט. עמ' 4-39, 59-9</w:t>
      </w:r>
      <w:r>
        <w:rPr>
          <w:rFonts w:cs="David" w:hint="cs"/>
          <w:sz w:val="26"/>
          <w:szCs w:val="26"/>
          <w:rtl/>
        </w:rPr>
        <w:t>7</w:t>
      </w:r>
      <w:r w:rsidRPr="00914E81">
        <w:rPr>
          <w:rFonts w:cs="David" w:hint="cs"/>
          <w:sz w:val="26"/>
          <w:szCs w:val="26"/>
          <w:rtl/>
        </w:rPr>
        <w:t>, 159-182.</w:t>
      </w:r>
    </w:p>
    <w:p w:rsidR="00E618F6" w:rsidRPr="00914E81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*</w:t>
      </w:r>
      <w:r w:rsidRPr="00657C96">
        <w:rPr>
          <w:rFonts w:cs="David" w:hint="cs"/>
          <w:b/>
          <w:bCs/>
          <w:sz w:val="26"/>
          <w:szCs w:val="26"/>
          <w:rtl/>
        </w:rPr>
        <w:t>הכרזת העצמאות האמריקאית</w:t>
      </w:r>
      <w:r>
        <w:rPr>
          <w:rFonts w:cs="David" w:hint="cs"/>
          <w:sz w:val="26"/>
          <w:szCs w:val="26"/>
          <w:rtl/>
        </w:rPr>
        <w:t>.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 w:rsidRPr="00914E81">
        <w:rPr>
          <w:rFonts w:cs="David" w:hint="cs"/>
          <w:sz w:val="26"/>
          <w:szCs w:val="26"/>
          <w:u w:val="single"/>
          <w:rtl/>
        </w:rPr>
        <w:t>לעזרה</w:t>
      </w:r>
      <w:r w:rsidRPr="00914E81">
        <w:rPr>
          <w:rFonts w:cs="David" w:hint="cs"/>
          <w:sz w:val="26"/>
          <w:szCs w:val="26"/>
          <w:rtl/>
        </w:rPr>
        <w:t xml:space="preserve">: וינריב, א. (2008), </w:t>
      </w:r>
      <w:r w:rsidRPr="00914E81">
        <w:rPr>
          <w:rFonts w:cs="David" w:hint="cs"/>
          <w:b/>
          <w:bCs/>
          <w:sz w:val="26"/>
          <w:szCs w:val="26"/>
          <w:rtl/>
        </w:rPr>
        <w:t>בעיות בפילוסופיה של המוסר</w:t>
      </w:r>
      <w:r w:rsidRPr="00914E81">
        <w:rPr>
          <w:rFonts w:cs="David" w:hint="cs"/>
          <w:sz w:val="26"/>
          <w:szCs w:val="26"/>
          <w:rtl/>
        </w:rPr>
        <w:t>, מהדורה שנייה, ת"א</w:t>
      </w:r>
      <w:r>
        <w:rPr>
          <w:rFonts w:cs="David" w:hint="cs"/>
          <w:sz w:val="26"/>
          <w:szCs w:val="26"/>
          <w:rtl/>
        </w:rPr>
        <w:t>:</w:t>
      </w:r>
      <w:r w:rsidRPr="00657C96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האוניברסיטה הפתוחה</w:t>
      </w:r>
      <w:r w:rsidRPr="00914E81">
        <w:rPr>
          <w:rFonts w:cs="David" w:hint="cs"/>
          <w:sz w:val="26"/>
          <w:szCs w:val="26"/>
          <w:rtl/>
        </w:rPr>
        <w:t xml:space="preserve">, כרך </w:t>
      </w:r>
      <w:r>
        <w:rPr>
          <w:rFonts w:cs="David" w:hint="cs"/>
          <w:sz w:val="26"/>
          <w:szCs w:val="26"/>
          <w:rtl/>
        </w:rPr>
        <w:t>ב</w:t>
      </w:r>
      <w:r w:rsidRPr="00914E81">
        <w:rPr>
          <w:rFonts w:cs="David" w:hint="cs"/>
          <w:sz w:val="26"/>
          <w:szCs w:val="26"/>
          <w:rtl/>
        </w:rPr>
        <w:t xml:space="preserve">' יחידה </w:t>
      </w:r>
      <w:r>
        <w:rPr>
          <w:rFonts w:cs="David" w:hint="cs"/>
          <w:sz w:val="26"/>
          <w:szCs w:val="26"/>
          <w:rtl/>
        </w:rPr>
        <w:t>6</w:t>
      </w:r>
      <w:r w:rsidRPr="00914E81">
        <w:rPr>
          <w:rFonts w:cs="David" w:hint="cs"/>
          <w:sz w:val="26"/>
          <w:szCs w:val="26"/>
          <w:rtl/>
        </w:rPr>
        <w:t>,</w:t>
      </w:r>
      <w:r>
        <w:rPr>
          <w:rFonts w:cs="David" w:hint="cs"/>
          <w:sz w:val="26"/>
          <w:szCs w:val="26"/>
          <w:rtl/>
        </w:rPr>
        <w:t xml:space="preserve"> סעיפים 1-3,</w:t>
      </w:r>
      <w:r w:rsidRPr="00914E81">
        <w:rPr>
          <w:rFonts w:cs="David" w:hint="cs"/>
          <w:sz w:val="26"/>
          <w:szCs w:val="26"/>
          <w:rtl/>
        </w:rPr>
        <w:t xml:space="preserve"> עמ' </w:t>
      </w:r>
      <w:r>
        <w:rPr>
          <w:rFonts w:cs="David" w:hint="cs"/>
          <w:sz w:val="26"/>
          <w:szCs w:val="26"/>
          <w:rtl/>
        </w:rPr>
        <w:t>99-141.</w:t>
      </w:r>
    </w:p>
    <w:p w:rsidR="00E618F6" w:rsidRPr="00E93E87" w:rsidRDefault="00E618F6" w:rsidP="00E618F6">
      <w:pPr>
        <w:spacing w:line="276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קבלת</w:t>
      </w:r>
      <w:r w:rsidRPr="00E93E87">
        <w:rPr>
          <w:rFonts w:cs="David" w:hint="cs"/>
          <w:b/>
          <w:bCs/>
          <w:sz w:val="26"/>
          <w:szCs w:val="26"/>
          <w:rtl/>
        </w:rPr>
        <w:t xml:space="preserve"> מטלה שנייה</w:t>
      </w:r>
    </w:p>
    <w:p w:rsidR="00E618F6" w:rsidRDefault="00E618F6" w:rsidP="00E618F6">
      <w:pPr>
        <w:spacing w:line="276" w:lineRule="auto"/>
        <w:rPr>
          <w:rFonts w:cs="David"/>
          <w:b/>
          <w:bCs/>
          <w:sz w:val="26"/>
          <w:szCs w:val="26"/>
          <w:u w:val="single"/>
          <w:rtl/>
        </w:rPr>
      </w:pPr>
    </w:p>
    <w:p w:rsidR="00E618F6" w:rsidRPr="00657C96" w:rsidRDefault="00E618F6" w:rsidP="00CC7767">
      <w:pPr>
        <w:spacing w:line="276" w:lineRule="auto"/>
        <w:rPr>
          <w:rFonts w:cs="David"/>
          <w:b/>
          <w:bCs/>
          <w:sz w:val="26"/>
          <w:szCs w:val="26"/>
          <w:u w:val="single"/>
          <w:rtl/>
        </w:rPr>
      </w:pPr>
      <w:r w:rsidRPr="00657C96">
        <w:rPr>
          <w:rFonts w:cs="David" w:hint="cs"/>
          <w:b/>
          <w:bCs/>
          <w:sz w:val="26"/>
          <w:szCs w:val="26"/>
          <w:u w:val="single"/>
          <w:rtl/>
        </w:rPr>
        <w:t>שיעור</w:t>
      </w:r>
      <w:r w:rsidR="00CC7767">
        <w:rPr>
          <w:rFonts w:cs="David" w:hint="cs"/>
          <w:b/>
          <w:bCs/>
          <w:sz w:val="26"/>
          <w:szCs w:val="26"/>
          <w:u w:val="single"/>
          <w:rtl/>
        </w:rPr>
        <w:t>ים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 12</w:t>
      </w:r>
      <w:r w:rsidR="00CC7767">
        <w:rPr>
          <w:rFonts w:cs="David" w:hint="cs"/>
          <w:b/>
          <w:bCs/>
          <w:sz w:val="26"/>
          <w:szCs w:val="26"/>
          <w:u w:val="single"/>
          <w:rtl/>
        </w:rPr>
        <w:t>-13</w:t>
      </w:r>
      <w:r w:rsidRPr="00657C96">
        <w:rPr>
          <w:rFonts w:cs="David" w:hint="cs"/>
          <w:b/>
          <w:bCs/>
          <w:sz w:val="26"/>
          <w:szCs w:val="26"/>
          <w:u w:val="single"/>
          <w:rtl/>
        </w:rPr>
        <w:t xml:space="preserve"> (</w:t>
      </w:r>
      <w:r w:rsidR="00CC7767">
        <w:rPr>
          <w:rFonts w:cs="David" w:hint="cs"/>
          <w:b/>
          <w:bCs/>
          <w:sz w:val="26"/>
          <w:szCs w:val="26"/>
          <w:u w:val="single"/>
          <w:rtl/>
        </w:rPr>
        <w:t>8</w:t>
      </w:r>
      <w:r>
        <w:rPr>
          <w:rFonts w:cs="David" w:hint="cs"/>
          <w:b/>
          <w:bCs/>
          <w:sz w:val="26"/>
          <w:szCs w:val="26"/>
          <w:u w:val="single"/>
          <w:rtl/>
        </w:rPr>
        <w:t>.6</w:t>
      </w:r>
      <w:r w:rsidR="00CC7767">
        <w:rPr>
          <w:rFonts w:cs="David" w:hint="cs"/>
          <w:b/>
          <w:bCs/>
          <w:sz w:val="26"/>
          <w:szCs w:val="26"/>
          <w:u w:val="single"/>
          <w:rtl/>
        </w:rPr>
        <w:t>, 15.6</w:t>
      </w:r>
      <w:r w:rsidRPr="00657C96">
        <w:rPr>
          <w:rFonts w:cs="David" w:hint="cs"/>
          <w:b/>
          <w:bCs/>
          <w:sz w:val="26"/>
          <w:szCs w:val="26"/>
          <w:u w:val="single"/>
          <w:rtl/>
        </w:rPr>
        <w:t xml:space="preserve">) </w:t>
      </w:r>
      <w:r w:rsidRPr="00657C96">
        <w:rPr>
          <w:rFonts w:cs="David"/>
          <w:b/>
          <w:bCs/>
          <w:sz w:val="26"/>
          <w:szCs w:val="26"/>
          <w:u w:val="single"/>
          <w:rtl/>
        </w:rPr>
        <w:t>–</w:t>
      </w:r>
      <w:r w:rsidRPr="00657C96">
        <w:rPr>
          <w:rFonts w:cs="David" w:hint="cs"/>
          <w:b/>
          <w:bCs/>
          <w:sz w:val="26"/>
          <w:szCs w:val="26"/>
          <w:u w:val="single"/>
          <w:rtl/>
        </w:rPr>
        <w:t xml:space="preserve"> רפובליקניזם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 w:rsidRPr="00914E81">
        <w:rPr>
          <w:rFonts w:cs="David" w:hint="cs"/>
          <w:sz w:val="26"/>
          <w:szCs w:val="26"/>
          <w:rtl/>
        </w:rPr>
        <w:t>רוסו, ז'.ז'. (</w:t>
      </w:r>
      <w:r>
        <w:rPr>
          <w:rFonts w:cs="David" w:hint="cs"/>
          <w:sz w:val="26"/>
          <w:szCs w:val="26"/>
          <w:rtl/>
        </w:rPr>
        <w:t>1996</w:t>
      </w:r>
      <w:r w:rsidRPr="00914E81">
        <w:rPr>
          <w:rFonts w:cs="David" w:hint="cs"/>
          <w:b/>
          <w:bCs/>
          <w:sz w:val="26"/>
          <w:szCs w:val="26"/>
          <w:rtl/>
        </w:rPr>
        <w:t xml:space="preserve">), </w:t>
      </w:r>
      <w:r w:rsidRPr="00914E81">
        <w:rPr>
          <w:rFonts w:cs="David"/>
          <w:b/>
          <w:bCs/>
          <w:sz w:val="26"/>
          <w:szCs w:val="26"/>
          <w:rtl/>
        </w:rPr>
        <w:t xml:space="preserve"> על האמנה החברתית, </w:t>
      </w:r>
      <w:r w:rsidRPr="00914E81">
        <w:rPr>
          <w:rFonts w:cs="David" w:hint="cs"/>
          <w:b/>
          <w:bCs/>
          <w:sz w:val="26"/>
          <w:szCs w:val="26"/>
          <w:rtl/>
        </w:rPr>
        <w:t>או עיקרי המשפט המדיני</w:t>
      </w:r>
      <w:r w:rsidRPr="00914E81">
        <w:rPr>
          <w:rFonts w:cs="David" w:hint="cs"/>
          <w:sz w:val="26"/>
          <w:szCs w:val="26"/>
          <w:rtl/>
        </w:rPr>
        <w:t>, ירושלים</w:t>
      </w:r>
      <w:r>
        <w:rPr>
          <w:rFonts w:cs="David" w:hint="cs"/>
          <w:sz w:val="26"/>
          <w:szCs w:val="26"/>
          <w:rtl/>
        </w:rPr>
        <w:t>: מאגנס</w:t>
      </w:r>
      <w:r w:rsidRPr="00914E81">
        <w:rPr>
          <w:rFonts w:cs="David" w:hint="cs"/>
          <w:sz w:val="26"/>
          <w:szCs w:val="26"/>
          <w:rtl/>
        </w:rPr>
        <w:t xml:space="preserve">, ספר ראשון: </w:t>
      </w:r>
      <w:r w:rsidRPr="00914E81">
        <w:rPr>
          <w:rFonts w:cs="David"/>
          <w:sz w:val="26"/>
          <w:szCs w:val="26"/>
          <w:rtl/>
        </w:rPr>
        <w:t>פרקים א'</w:t>
      </w:r>
      <w:r w:rsidRPr="00914E81">
        <w:rPr>
          <w:rFonts w:cs="David" w:hint="cs"/>
          <w:sz w:val="26"/>
          <w:szCs w:val="26"/>
          <w:rtl/>
        </w:rPr>
        <w:t>, ו'</w:t>
      </w:r>
      <w:r w:rsidRPr="00914E81">
        <w:rPr>
          <w:rFonts w:cs="David"/>
          <w:sz w:val="26"/>
          <w:szCs w:val="26"/>
          <w:rtl/>
        </w:rPr>
        <w:t>-</w:t>
      </w:r>
      <w:r w:rsidRPr="00914E81">
        <w:rPr>
          <w:rFonts w:cs="David" w:hint="cs"/>
          <w:sz w:val="26"/>
          <w:szCs w:val="26"/>
          <w:rtl/>
        </w:rPr>
        <w:t>ח</w:t>
      </w:r>
      <w:r w:rsidRPr="00914E81">
        <w:rPr>
          <w:rFonts w:cs="David"/>
          <w:sz w:val="26"/>
          <w:szCs w:val="26"/>
          <w:rtl/>
        </w:rPr>
        <w:t>'</w:t>
      </w:r>
      <w:r w:rsidRPr="00914E81">
        <w:rPr>
          <w:rFonts w:cs="David" w:hint="cs"/>
          <w:sz w:val="26"/>
          <w:szCs w:val="26"/>
          <w:rtl/>
        </w:rPr>
        <w:t>, ספר שני: פרקים א'- ז', ספר רביעי: פרקים א'-ג', עמ'</w:t>
      </w:r>
      <w:r w:rsidRPr="00914E81">
        <w:rPr>
          <w:rFonts w:cs="David"/>
          <w:sz w:val="26"/>
          <w:szCs w:val="26"/>
          <w:rtl/>
        </w:rPr>
        <w:t xml:space="preserve"> </w:t>
      </w:r>
      <w:r w:rsidRPr="00914E81">
        <w:rPr>
          <w:rFonts w:cs="David" w:hint="cs"/>
          <w:sz w:val="26"/>
          <w:szCs w:val="26"/>
          <w:rtl/>
        </w:rPr>
        <w:t>9-10, 23-32, 38-65, 154-165</w:t>
      </w:r>
      <w:r w:rsidRPr="00914E81">
        <w:rPr>
          <w:rFonts w:cs="David"/>
          <w:sz w:val="26"/>
          <w:szCs w:val="26"/>
        </w:rPr>
        <w:t>.</w:t>
      </w:r>
    </w:p>
    <w:p w:rsidR="00E618F6" w:rsidRPr="00914E81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*</w:t>
      </w:r>
      <w:r w:rsidRPr="00657C96">
        <w:rPr>
          <w:rFonts w:cs="David" w:hint="cs"/>
          <w:sz w:val="26"/>
          <w:szCs w:val="26"/>
          <w:rtl/>
        </w:rPr>
        <w:t xml:space="preserve"> </w:t>
      </w:r>
      <w:r w:rsidRPr="00914E81">
        <w:rPr>
          <w:rFonts w:cs="David" w:hint="cs"/>
          <w:sz w:val="26"/>
          <w:szCs w:val="26"/>
          <w:rtl/>
        </w:rPr>
        <w:t>רוסו, ז'.ז'.</w:t>
      </w:r>
      <w:r>
        <w:rPr>
          <w:rFonts w:cs="David" w:hint="cs"/>
          <w:sz w:val="26"/>
          <w:szCs w:val="26"/>
          <w:rtl/>
        </w:rPr>
        <w:t xml:space="preserve"> (1993), "מאמר על המדעים והאומנויות", בתוך </w:t>
      </w:r>
      <w:r w:rsidRPr="00DF79B7">
        <w:rPr>
          <w:rFonts w:cs="David" w:hint="cs"/>
          <w:b/>
          <w:bCs/>
          <w:sz w:val="26"/>
          <w:szCs w:val="26"/>
          <w:rtl/>
        </w:rPr>
        <w:t>מאמרים</w:t>
      </w:r>
      <w:r>
        <w:rPr>
          <w:rFonts w:cs="David" w:hint="cs"/>
          <w:sz w:val="26"/>
          <w:szCs w:val="26"/>
          <w:rtl/>
        </w:rPr>
        <w:t>, ירושלים: מאגנס, עמ' 31-66 ו"מאמר על המקור והיסודות לאי השוויון בין בני האדם", עמ' 97-201.</w:t>
      </w:r>
    </w:p>
    <w:p w:rsidR="00E618F6" w:rsidRPr="00914E81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 w:rsidRPr="00914E81">
        <w:rPr>
          <w:rFonts w:cs="David" w:hint="cs"/>
          <w:sz w:val="26"/>
          <w:szCs w:val="26"/>
          <w:u w:val="single"/>
          <w:rtl/>
        </w:rPr>
        <w:t>לעזרה</w:t>
      </w:r>
      <w:r w:rsidRPr="00914E81">
        <w:rPr>
          <w:rFonts w:cs="David" w:hint="cs"/>
          <w:sz w:val="26"/>
          <w:szCs w:val="26"/>
          <w:rtl/>
        </w:rPr>
        <w:t>:</w:t>
      </w:r>
      <w:r w:rsidRPr="00914E81">
        <w:rPr>
          <w:rFonts w:cs="David" w:hint="cs"/>
          <w:sz w:val="26"/>
          <w:szCs w:val="26"/>
        </w:rPr>
        <w:t xml:space="preserve"> </w:t>
      </w:r>
      <w:r w:rsidRPr="00914E81">
        <w:rPr>
          <w:rFonts w:cs="David" w:hint="cs"/>
          <w:sz w:val="26"/>
          <w:szCs w:val="26"/>
          <w:rtl/>
        </w:rPr>
        <w:t xml:space="preserve">פלד, י. (1990), </w:t>
      </w:r>
      <w:r>
        <w:rPr>
          <w:rFonts w:cs="David" w:hint="cs"/>
          <w:b/>
          <w:bCs/>
          <w:sz w:val="26"/>
          <w:szCs w:val="26"/>
          <w:rtl/>
        </w:rPr>
        <w:t>תרבות ה</w:t>
      </w:r>
      <w:r w:rsidRPr="00914E81">
        <w:rPr>
          <w:rFonts w:cs="David" w:hint="cs"/>
          <w:b/>
          <w:bCs/>
          <w:sz w:val="26"/>
          <w:szCs w:val="26"/>
          <w:rtl/>
        </w:rPr>
        <w:t>השכלה</w:t>
      </w:r>
      <w:r>
        <w:rPr>
          <w:rFonts w:cs="David" w:hint="cs"/>
          <w:sz w:val="26"/>
          <w:szCs w:val="26"/>
          <w:rtl/>
        </w:rPr>
        <w:t>, ת"א: האוניברסיטה הפתוחה,</w:t>
      </w:r>
      <w:r w:rsidRPr="00914E81">
        <w:rPr>
          <w:rFonts w:cs="David" w:hint="cs"/>
          <w:sz w:val="26"/>
          <w:szCs w:val="26"/>
          <w:rtl/>
        </w:rPr>
        <w:t xml:space="preserve"> יחידה 5.</w:t>
      </w:r>
    </w:p>
    <w:p w:rsidR="00E618F6" w:rsidRPr="00E93E87" w:rsidRDefault="00E618F6" w:rsidP="00E618F6">
      <w:pPr>
        <w:spacing w:line="276" w:lineRule="auto"/>
        <w:rPr>
          <w:rFonts w:cs="David"/>
          <w:b/>
          <w:bCs/>
          <w:sz w:val="26"/>
          <w:szCs w:val="26"/>
          <w:rtl/>
        </w:rPr>
      </w:pPr>
      <w:r w:rsidRPr="00E93E87">
        <w:rPr>
          <w:rFonts w:cs="David" w:hint="cs"/>
          <w:b/>
          <w:bCs/>
          <w:sz w:val="26"/>
          <w:szCs w:val="26"/>
          <w:rtl/>
        </w:rPr>
        <w:t>ה</w:t>
      </w:r>
      <w:r>
        <w:rPr>
          <w:rFonts w:cs="David" w:hint="cs"/>
          <w:b/>
          <w:bCs/>
          <w:sz w:val="26"/>
          <w:szCs w:val="26"/>
          <w:rtl/>
        </w:rPr>
        <w:t>גשת</w:t>
      </w:r>
      <w:r w:rsidRPr="00E93E87">
        <w:rPr>
          <w:rFonts w:cs="David" w:hint="cs"/>
          <w:b/>
          <w:bCs/>
          <w:sz w:val="26"/>
          <w:szCs w:val="26"/>
          <w:rtl/>
        </w:rPr>
        <w:t xml:space="preserve"> מטלה שנייה</w:t>
      </w:r>
    </w:p>
    <w:p w:rsidR="00E618F6" w:rsidRDefault="00E618F6" w:rsidP="00E618F6">
      <w:pPr>
        <w:spacing w:line="276" w:lineRule="auto"/>
        <w:rPr>
          <w:rFonts w:cs="David"/>
          <w:b/>
          <w:bCs/>
          <w:sz w:val="26"/>
          <w:szCs w:val="26"/>
          <w:u w:val="single"/>
          <w:rtl/>
        </w:rPr>
      </w:pPr>
    </w:p>
    <w:p w:rsidR="00E618F6" w:rsidRPr="00C533C8" w:rsidRDefault="002D4B9D" w:rsidP="00CC7767">
      <w:pPr>
        <w:spacing w:line="276" w:lineRule="auto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שיעור 14</w:t>
      </w:r>
      <w:r w:rsidR="00E618F6" w:rsidRPr="00C533C8">
        <w:rPr>
          <w:rFonts w:cs="David" w:hint="cs"/>
          <w:b/>
          <w:bCs/>
          <w:sz w:val="26"/>
          <w:szCs w:val="26"/>
          <w:u w:val="single"/>
          <w:rtl/>
        </w:rPr>
        <w:t xml:space="preserve"> (</w:t>
      </w:r>
      <w:r w:rsidR="00CC7767">
        <w:rPr>
          <w:rFonts w:cs="David" w:hint="cs"/>
          <w:b/>
          <w:bCs/>
          <w:sz w:val="26"/>
          <w:szCs w:val="26"/>
          <w:u w:val="single"/>
          <w:rtl/>
        </w:rPr>
        <w:t>22</w:t>
      </w:r>
      <w:r w:rsidR="00E618F6">
        <w:rPr>
          <w:rFonts w:cs="David" w:hint="cs"/>
          <w:b/>
          <w:bCs/>
          <w:sz w:val="26"/>
          <w:szCs w:val="26"/>
          <w:u w:val="single"/>
          <w:rtl/>
        </w:rPr>
        <w:t>.6</w:t>
      </w:r>
      <w:r w:rsidR="00E618F6" w:rsidRPr="00C533C8">
        <w:rPr>
          <w:rFonts w:cs="David" w:hint="cs"/>
          <w:b/>
          <w:bCs/>
          <w:sz w:val="26"/>
          <w:szCs w:val="26"/>
          <w:u w:val="single"/>
          <w:rtl/>
        </w:rPr>
        <w:t xml:space="preserve">) </w:t>
      </w:r>
      <w:r w:rsidR="00E618F6" w:rsidRPr="00C533C8">
        <w:rPr>
          <w:rFonts w:cs="David"/>
          <w:b/>
          <w:bCs/>
          <w:sz w:val="26"/>
          <w:szCs w:val="26"/>
          <w:u w:val="single"/>
          <w:rtl/>
        </w:rPr>
        <w:t>–</w:t>
      </w:r>
      <w:r w:rsidR="00E618F6" w:rsidRPr="00C533C8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E618F6">
        <w:rPr>
          <w:rFonts w:cs="David" w:hint="cs"/>
          <w:b/>
          <w:bCs/>
          <w:sz w:val="26"/>
          <w:szCs w:val="26"/>
          <w:u w:val="single"/>
          <w:rtl/>
        </w:rPr>
        <w:t>שמרנות</w:t>
      </w:r>
    </w:p>
    <w:p w:rsidR="00E618F6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ברק, א. (1999), </w:t>
      </w:r>
      <w:r w:rsidRPr="004308EA">
        <w:rPr>
          <w:rFonts w:cs="David" w:hint="cs"/>
          <w:b/>
          <w:bCs/>
          <w:sz w:val="26"/>
          <w:szCs w:val="26"/>
          <w:rtl/>
        </w:rPr>
        <w:t>מחשבות על המהפכה בצרפת</w:t>
      </w:r>
      <w:r>
        <w:rPr>
          <w:rFonts w:cs="David" w:hint="cs"/>
          <w:sz w:val="26"/>
          <w:szCs w:val="26"/>
          <w:rtl/>
        </w:rPr>
        <w:t>, מרכז שלם, ירושלים, פרקים ראשון, שני, שישי, עמ' 26-75, 157-185.</w:t>
      </w:r>
    </w:p>
    <w:p w:rsidR="00E618F6" w:rsidRPr="00144237" w:rsidRDefault="00E618F6" w:rsidP="00E618F6">
      <w:pPr>
        <w:spacing w:line="276" w:lineRule="auto"/>
        <w:rPr>
          <w:rFonts w:cs="David"/>
          <w:sz w:val="26"/>
          <w:szCs w:val="26"/>
          <w:rtl/>
        </w:rPr>
      </w:pPr>
      <w:r w:rsidRPr="00AA686E">
        <w:rPr>
          <w:rFonts w:cs="David" w:hint="cs"/>
          <w:sz w:val="26"/>
          <w:szCs w:val="26"/>
          <w:u w:val="single"/>
          <w:rtl/>
        </w:rPr>
        <w:t>לעזרה</w:t>
      </w:r>
      <w:r>
        <w:rPr>
          <w:rFonts w:cs="David" w:hint="cs"/>
          <w:sz w:val="26"/>
          <w:szCs w:val="26"/>
          <w:rtl/>
        </w:rPr>
        <w:t>: רוסיטר, ק. (2001), "המסורת השמרנית, או מברק עד קירק", בתוך</w:t>
      </w:r>
      <w:r w:rsidRPr="00126010">
        <w:rPr>
          <w:rFonts w:cs="David" w:hint="cs"/>
          <w:b/>
          <w:bCs/>
          <w:sz w:val="26"/>
          <w:szCs w:val="26"/>
          <w:rtl/>
        </w:rPr>
        <w:t xml:space="preserve"> </w:t>
      </w:r>
      <w:r w:rsidRPr="00976EDD">
        <w:rPr>
          <w:rFonts w:cs="David" w:hint="cs"/>
          <w:b/>
          <w:bCs/>
          <w:sz w:val="26"/>
          <w:szCs w:val="26"/>
          <w:rtl/>
        </w:rPr>
        <w:t>תולדות המחשבה המדינית</w:t>
      </w:r>
      <w:r>
        <w:rPr>
          <w:rFonts w:cs="David" w:hint="cs"/>
          <w:sz w:val="26"/>
          <w:szCs w:val="26"/>
          <w:rtl/>
        </w:rPr>
        <w:t>, קרן, מ. (עורך), האוניברסיטה הפתוחה, ת"א, כרך א', ע"מ 623-664.</w:t>
      </w:r>
    </w:p>
    <w:p w:rsidR="00E618F6" w:rsidRPr="00094A6E" w:rsidRDefault="00E618F6" w:rsidP="00E618F6">
      <w:pPr>
        <w:spacing w:line="276" w:lineRule="auto"/>
        <w:rPr>
          <w:rFonts w:cs="David"/>
          <w:b/>
          <w:bCs/>
          <w:i/>
          <w:iCs/>
          <w:sz w:val="26"/>
          <w:szCs w:val="26"/>
          <w:u w:val="single"/>
          <w:rtl/>
        </w:rPr>
      </w:pPr>
    </w:p>
    <w:p w:rsidR="00E618F6" w:rsidRPr="00E33D2C" w:rsidRDefault="00E618F6" w:rsidP="00E618F6"/>
    <w:p w:rsidR="007635F5" w:rsidRPr="00E618F6" w:rsidRDefault="007635F5"/>
    <w:sectPr w:rsidR="007635F5" w:rsidRPr="00E618F6" w:rsidSect="00354C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5A1"/>
    <w:multiLevelType w:val="hybridMultilevel"/>
    <w:tmpl w:val="9B50DC24"/>
    <w:lvl w:ilvl="0" w:tplc="56C074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F6"/>
    <w:rsid w:val="002D4B9D"/>
    <w:rsid w:val="0031135E"/>
    <w:rsid w:val="004C7BFB"/>
    <w:rsid w:val="006E205F"/>
    <w:rsid w:val="007635F5"/>
    <w:rsid w:val="00886769"/>
    <w:rsid w:val="00BD54E1"/>
    <w:rsid w:val="00C76915"/>
    <w:rsid w:val="00CC7767"/>
    <w:rsid w:val="00E6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1739"/>
  <w15:chartTrackingRefBased/>
  <w15:docId w15:val="{060485CF-61EB-4361-BE6E-C04A5AC6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E618F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rotem@mail.ta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488;&#1500;&#1493;&#1504;&#1497;aloni.nahshon@gmail.com" TargetMode="External"/><Relationship Id="rId5" Type="http://schemas.openxmlformats.org/officeDocument/2006/relationships/hyperlink" Target="mailto:golanb@surfree.net.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2020-02-05T07:16:00Z</dcterms:created>
  <dcterms:modified xsi:type="dcterms:W3CDTF">2020-02-05T07:16:00Z</dcterms:modified>
</cp:coreProperties>
</file>