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D2" w:rsidRDefault="008233D2" w:rsidP="008233D2">
      <w:pPr>
        <w:jc w:val="center"/>
        <w:rPr>
          <w:b/>
          <w:bCs/>
          <w:u w:val="single"/>
          <w:rtl/>
        </w:rPr>
      </w:pPr>
      <w:r w:rsidRPr="008233D2">
        <w:rPr>
          <w:rFonts w:hint="cs"/>
          <w:b/>
          <w:bCs/>
          <w:u w:val="single"/>
          <w:rtl/>
        </w:rPr>
        <w:t>ד"ר עמוס זהבי, אתגרים חברתיים ומדיניות</w:t>
      </w:r>
    </w:p>
    <w:p w:rsidR="008233D2" w:rsidRDefault="005130C4" w:rsidP="008233D2">
      <w:pPr>
        <w:jc w:val="center"/>
        <w:rPr>
          <w:rtl/>
        </w:rPr>
      </w:pPr>
      <w:r>
        <w:rPr>
          <w:rFonts w:hint="cs"/>
          <w:rtl/>
        </w:rPr>
        <w:t xml:space="preserve"> החוג למדע המדינה ממשל ויחב"ל </w:t>
      </w:r>
      <w:r w:rsidR="008233D2">
        <w:rPr>
          <w:rFonts w:hint="cs"/>
          <w:rtl/>
        </w:rPr>
        <w:t>1031-3965-01</w:t>
      </w:r>
    </w:p>
    <w:p w:rsidR="008233D2" w:rsidRDefault="008233D2" w:rsidP="008233D2">
      <w:pPr>
        <w:rPr>
          <w:rtl/>
        </w:rPr>
      </w:pPr>
      <w:r>
        <w:rPr>
          <w:rFonts w:hint="cs"/>
          <w:rtl/>
        </w:rPr>
        <w:t>יום שלישי, 12:00-16:00</w:t>
      </w:r>
      <w:r w:rsidR="005130C4">
        <w:rPr>
          <w:rFonts w:hint="cs"/>
          <w:rtl/>
        </w:rPr>
        <w:t xml:space="preserve"> ס' ב' תשע"ח</w:t>
      </w:r>
    </w:p>
    <w:p w:rsidR="008233D2" w:rsidRDefault="008233D2" w:rsidP="008233D2">
      <w:pPr>
        <w:rPr>
          <w:rtl/>
        </w:rPr>
      </w:pPr>
      <w:r>
        <w:rPr>
          <w:rFonts w:hint="cs"/>
          <w:rtl/>
        </w:rPr>
        <w:t>חדר 419</w:t>
      </w:r>
    </w:p>
    <w:p w:rsidR="008233D2" w:rsidRDefault="008233D2" w:rsidP="008233D2">
      <w:pPr>
        <w:rPr>
          <w:rtl/>
        </w:rPr>
      </w:pPr>
    </w:p>
    <w:p w:rsidR="008233D2" w:rsidRDefault="008233D2" w:rsidP="008233D2">
      <w:pPr>
        <w:rPr>
          <w:rtl/>
        </w:rPr>
      </w:pPr>
      <w:r>
        <w:rPr>
          <w:rFonts w:hint="cs"/>
          <w:rtl/>
        </w:rPr>
        <w:t xml:space="preserve">חברות מודרניות משתנות בקצב מהיר בהרבה מאשר חברות פרה-מודרניות וכתוצאה מכך הבעיות שעולם המדיניות נדרש לטפל בהם גם הן משתנות. במסגרת סמינר זה נתייחס למספר סוגיות חברתיות ולתגובות המדיניות אליהן. בין היתר, הקורס יתייחס לסוגיות הבאות: הזדקנות האוכלוסיה, קיטוב מוטה ידע בשוק העבודה, שינויים במבנה המשפחתי, הטרוגניות אתנית גדלה ועוד. </w:t>
      </w:r>
    </w:p>
    <w:p w:rsidR="008233D2" w:rsidRDefault="008233D2" w:rsidP="008233D2">
      <w:pPr>
        <w:rPr>
          <w:rtl/>
        </w:rPr>
      </w:pPr>
    </w:p>
    <w:p w:rsidR="008233D2" w:rsidRDefault="008233D2" w:rsidP="008233D2">
      <w:pPr>
        <w:bidi w:val="0"/>
      </w:pPr>
      <w:r>
        <w:t xml:space="preserve">Dr. Amos </w:t>
      </w:r>
      <w:proofErr w:type="spellStart"/>
      <w:r>
        <w:t>Zehavi</w:t>
      </w:r>
      <w:proofErr w:type="spellEnd"/>
      <w:r>
        <w:t>, Social challenges and policy</w:t>
      </w:r>
    </w:p>
    <w:p w:rsidR="008233D2" w:rsidRDefault="008233D2" w:rsidP="008233D2">
      <w:pPr>
        <w:bidi w:val="0"/>
      </w:pPr>
      <w:r>
        <w:t xml:space="preserve">Modern societies change at a far faster pace than their pre-modern predecessors. As a result, the problems that policymakers face are also in a constant state of flux. In this seminar, we will discuss several evolving social issues and corresponding policy responses. Among the issues to be discussed are: population aging; knowledge-based polarization in the labor market; transformations in family structure and roles; growing social diversity; and so on. </w:t>
      </w:r>
    </w:p>
    <w:p w:rsidR="008233D2" w:rsidRDefault="008233D2" w:rsidP="008233D2">
      <w:pPr>
        <w:rPr>
          <w:rtl/>
        </w:rPr>
      </w:pPr>
    </w:p>
    <w:p w:rsidR="008233D2" w:rsidRDefault="008233D2" w:rsidP="008233D2">
      <w:pPr>
        <w:rPr>
          <w:rtl/>
        </w:rPr>
      </w:pPr>
      <w:r>
        <w:rPr>
          <w:rFonts w:hint="cs"/>
          <w:rtl/>
        </w:rPr>
        <w:t xml:space="preserve">ההשתתפות במפגשי הסמינר היא חובה. מי שייעדר מ-4 מפגשים או יותר ללא הצדקה לא יוכל להגיש עבודת סמינר. השתתפות פעילה מהווה גם מרכיב בציון (10%), יחד עם רפרט (20%) וציון עבודה סמינריונית (70%). עבודות סמניריונית אמורות להיות באורך של 20-25 עמודים (רווח כפול, פונט 12) ויוגשו עד ה-16.9.2018. </w:t>
      </w:r>
    </w:p>
    <w:p w:rsidR="008233D2" w:rsidRDefault="008233D2" w:rsidP="00BE2C68">
      <w:pPr>
        <w:rPr>
          <w:rtl/>
        </w:rPr>
      </w:pPr>
      <w:r>
        <w:rPr>
          <w:rFonts w:hint="cs"/>
          <w:rtl/>
        </w:rPr>
        <w:t xml:space="preserve">זוגות תלמידים יציגו בתחילת שיעור רפרט המציג מאמר שניתן כקריאה לאותו שיעור. זמן הרפרט יהיה בערך 15 דקות. </w:t>
      </w:r>
      <w:r w:rsidR="00BE2C68">
        <w:rPr>
          <w:rFonts w:hint="cs"/>
          <w:rtl/>
        </w:rPr>
        <w:t xml:space="preserve">המרצה יחליט על זהות הזוגות ואיזה מאמר יציגו. </w:t>
      </w:r>
    </w:p>
    <w:p w:rsidR="00744AED" w:rsidRDefault="00744AED" w:rsidP="00BE2C68">
      <w:pPr>
        <w:rPr>
          <w:rtl/>
        </w:rPr>
      </w:pPr>
      <w:r>
        <w:rPr>
          <w:rFonts w:hint="cs"/>
          <w:rtl/>
        </w:rPr>
        <w:t xml:space="preserve">בשבועיים האחרונים של הסמסטר תציג כל תלמידה את נושא הסמינר שלה: רקע, שאלת מחקר, ומתודולוגיה. </w:t>
      </w:r>
    </w:p>
    <w:p w:rsidR="008233D2" w:rsidRDefault="008233D2" w:rsidP="008233D2">
      <w:pPr>
        <w:bidi w:val="0"/>
      </w:pPr>
    </w:p>
    <w:p w:rsidR="00E3750F" w:rsidRDefault="00E3750F">
      <w:pPr>
        <w:bidi w:val="0"/>
        <w:spacing w:after="160"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8233D2" w:rsidRDefault="00641D74" w:rsidP="008233D2">
      <w:pPr>
        <w:rPr>
          <w:b/>
          <w:bCs/>
          <w:rtl/>
        </w:rPr>
      </w:pPr>
      <w:r>
        <w:rPr>
          <w:rFonts w:hint="cs"/>
          <w:b/>
          <w:bCs/>
          <w:rtl/>
        </w:rPr>
        <w:t>שבוע 1: בעיות מדיניות וכלי מדיניות: מקרים מן העבר</w:t>
      </w:r>
    </w:p>
    <w:p w:rsidR="00CA79DA" w:rsidRDefault="00BE2C68" w:rsidP="00BE2C68">
      <w:pPr>
        <w:pStyle w:val="a3"/>
        <w:numPr>
          <w:ilvl w:val="0"/>
          <w:numId w:val="18"/>
        </w:numPr>
        <w:bidi w:val="0"/>
        <w:spacing w:after="160" w:line="259" w:lineRule="auto"/>
      </w:pPr>
      <w:r>
        <w:t xml:space="preserve">Louis </w:t>
      </w:r>
      <w:proofErr w:type="spellStart"/>
      <w:r>
        <w:t>Menand</w:t>
      </w:r>
      <w:proofErr w:type="spellEnd"/>
      <w:r>
        <w:t xml:space="preserve">, "Everyone's an Expert" </w:t>
      </w:r>
      <w:r>
        <w:rPr>
          <w:i/>
          <w:iCs/>
        </w:rPr>
        <w:t>New Yorker</w:t>
      </w:r>
      <w:r>
        <w:t xml:space="preserve"> December 5, 2005</w:t>
      </w:r>
    </w:p>
    <w:p w:rsidR="00CA79DA" w:rsidRPr="00680A00" w:rsidRDefault="00CA79DA" w:rsidP="00CA79DA">
      <w:pPr>
        <w:rPr>
          <w:rFonts w:asciiTheme="majorBidi" w:hAnsiTheme="majorBidi" w:cstheme="majorBidi"/>
          <w:b/>
          <w:bCs/>
          <w:rtl/>
        </w:rPr>
      </w:pPr>
      <w:r>
        <w:rPr>
          <w:rFonts w:hint="cs"/>
          <w:b/>
          <w:bCs/>
          <w:rtl/>
        </w:rPr>
        <w:t>שבוע 2: קיטוב בשוק העבודה</w:t>
      </w:r>
    </w:p>
    <w:p w:rsidR="006C220F" w:rsidRPr="00680A00" w:rsidRDefault="006C220F" w:rsidP="006C220F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680A00">
        <w:rPr>
          <w:rFonts w:asciiTheme="majorBidi" w:hAnsiTheme="majorBidi" w:cstheme="majorBidi"/>
        </w:rPr>
        <w:t xml:space="preserve">Erik </w:t>
      </w:r>
      <w:proofErr w:type="spellStart"/>
      <w:r w:rsidRPr="00680A00">
        <w:rPr>
          <w:rFonts w:asciiTheme="majorBidi" w:hAnsiTheme="majorBidi" w:cstheme="majorBidi"/>
        </w:rPr>
        <w:t>Brynjolfsson</w:t>
      </w:r>
      <w:proofErr w:type="spellEnd"/>
      <w:r w:rsidRPr="00680A00">
        <w:rPr>
          <w:rFonts w:asciiTheme="majorBidi" w:hAnsiTheme="majorBidi" w:cstheme="majorBidi"/>
        </w:rPr>
        <w:t xml:space="preserve"> and Andrew McAfee (2012), “Race Against The Machine: How The Digital Revolution Is Accelerating Innovation, Driving Productivity, and Irreversibly Transforming Employment and The Economy” MIT Center for Digital Business</w:t>
      </w:r>
      <w:r w:rsidRPr="00680A00">
        <w:rPr>
          <w:rFonts w:asciiTheme="majorBidi" w:hAnsiTheme="majorBidi" w:cstheme="majorBidi"/>
          <w:rtl/>
        </w:rPr>
        <w:t>.</w:t>
      </w:r>
      <w:r>
        <w:rPr>
          <w:rFonts w:asciiTheme="majorBidi" w:hAnsiTheme="majorBidi" w:cstheme="majorBidi"/>
        </w:rPr>
        <w:t xml:space="preserve"> </w:t>
      </w:r>
      <w:r w:rsidRPr="00680A00">
        <w:rPr>
          <w:rFonts w:asciiTheme="majorBidi" w:hAnsiTheme="majorBidi" w:cstheme="majorBidi"/>
          <w:color w:val="222222"/>
          <w:shd w:val="clear" w:color="auto" w:fill="FFFFFF"/>
          <w:rtl/>
        </w:rPr>
        <w:t>(מאמר רפרט)</w:t>
      </w:r>
    </w:p>
    <w:p w:rsidR="006C220F" w:rsidRDefault="00667EA2" w:rsidP="006C220F">
      <w:pPr>
        <w:bidi w:val="0"/>
      </w:pPr>
      <w:hyperlink r:id="rId6" w:history="1">
        <w:r w:rsidR="006C220F" w:rsidRPr="003B71B7">
          <w:rPr>
            <w:rStyle w:val="Hyperlink"/>
          </w:rPr>
          <w:t>http://ebusiness.mit.edu/research/Briefs/Brynjolfsson_McAfee_Race_Against_the_Machine.pdf</w:t>
        </w:r>
      </w:hyperlink>
    </w:p>
    <w:p w:rsidR="00CA79DA" w:rsidRPr="00680A00" w:rsidRDefault="00CA79DA" w:rsidP="006C220F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680A00">
        <w:rPr>
          <w:rFonts w:asciiTheme="majorBidi" w:hAnsiTheme="majorBidi" w:cstheme="majorBidi"/>
          <w:color w:val="222222"/>
          <w:shd w:val="clear" w:color="auto" w:fill="FFFFFF"/>
        </w:rPr>
        <w:t>Hodgson, Geoffrey M. "The future of work in the twenty-first century." </w:t>
      </w:r>
      <w:r w:rsidRPr="00680A00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Economic Issues</w:t>
      </w:r>
      <w:r w:rsidRPr="00680A00">
        <w:rPr>
          <w:rFonts w:asciiTheme="majorBidi" w:hAnsiTheme="majorBidi" w:cstheme="majorBidi"/>
          <w:color w:val="222222"/>
          <w:shd w:val="clear" w:color="auto" w:fill="FFFFFF"/>
        </w:rPr>
        <w:t> 50.1 (2016): 197-216.</w:t>
      </w:r>
      <w:r w:rsidRPr="00680A00">
        <w:rPr>
          <w:rFonts w:asciiTheme="majorBidi" w:hAnsiTheme="majorBidi" w:cstheme="majorBidi"/>
        </w:rPr>
        <w:t xml:space="preserve"> </w:t>
      </w:r>
    </w:p>
    <w:p w:rsidR="00CA79DA" w:rsidRDefault="00CA79DA" w:rsidP="00641D7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שבוע 3: מנצחים ומפסידים בשוק העבודה הישראלי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השכלה, אבל במה?</w:t>
      </w:r>
    </w:p>
    <w:p w:rsidR="00CA79DA" w:rsidRDefault="00191756" w:rsidP="00191756">
      <w:pPr>
        <w:pStyle w:val="a3"/>
        <w:numPr>
          <w:ilvl w:val="0"/>
          <w:numId w:val="8"/>
        </w:numPr>
      </w:pPr>
      <w:r w:rsidRPr="00191756">
        <w:rPr>
          <w:rtl/>
        </w:rPr>
        <w:t>אלינה רוזנפלד-קינר וטלי קריסטל</w:t>
      </w:r>
      <w:r>
        <w:rPr>
          <w:rFonts w:hint="cs"/>
          <w:rtl/>
        </w:rPr>
        <w:t>,</w:t>
      </w:r>
      <w:r w:rsidRPr="00191756">
        <w:rPr>
          <w:rtl/>
        </w:rPr>
        <w:t xml:space="preserve"> </w:t>
      </w:r>
      <w:r>
        <w:rPr>
          <w:rFonts w:hint="cs"/>
          <w:rtl/>
        </w:rPr>
        <w:t>"</w:t>
      </w:r>
      <w:r w:rsidRPr="00191756">
        <w:rPr>
          <w:rtl/>
        </w:rPr>
        <w:t>שינויים במבנה התעסוקה בישראל: משדרוג לקיטוב</w:t>
      </w:r>
      <w:r>
        <w:rPr>
          <w:rFonts w:hint="cs"/>
          <w:rtl/>
        </w:rPr>
        <w:t xml:space="preserve">", </w:t>
      </w:r>
      <w:r w:rsidRPr="00191756">
        <w:rPr>
          <w:rtl/>
        </w:rPr>
        <w:t xml:space="preserve">סוציולוגיה ישראלית: כתב-עת לחקר החברה הישראלית, 19, 1 (תשע"ח, נובמבר 2017), עמ' 120-144 </w:t>
      </w:r>
      <w:r>
        <w:rPr>
          <w:rFonts w:hint="cs"/>
          <w:rtl/>
        </w:rPr>
        <w:t>(מאמר לרפרט)</w:t>
      </w:r>
    </w:p>
    <w:p w:rsidR="000B2979" w:rsidRDefault="000B2979" w:rsidP="000B2979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יולי תמיר, </w:t>
      </w:r>
      <w:r>
        <w:rPr>
          <w:rFonts w:hint="cs"/>
          <w:i/>
          <w:iCs/>
          <w:rtl/>
        </w:rPr>
        <w:t xml:space="preserve">מי מפחד משוויון? על חינוך וחברה בישראל </w:t>
      </w:r>
      <w:r>
        <w:rPr>
          <w:rFonts w:hint="cs"/>
          <w:rtl/>
        </w:rPr>
        <w:t xml:space="preserve">(2015), תל אביב, ידיעות אחרונות, עמ' 167-190. </w:t>
      </w:r>
    </w:p>
    <w:p w:rsidR="00191756" w:rsidRDefault="00191756" w:rsidP="00191756">
      <w:pPr>
        <w:rPr>
          <w:rtl/>
        </w:rPr>
      </w:pPr>
    </w:p>
    <w:p w:rsidR="00191756" w:rsidRDefault="00191756" w:rsidP="00191756">
      <w:pPr>
        <w:rPr>
          <w:b/>
          <w:bCs/>
          <w:rtl/>
        </w:rPr>
      </w:pPr>
      <w:r>
        <w:rPr>
          <w:rFonts w:hint="cs"/>
          <w:b/>
          <w:bCs/>
          <w:rtl/>
        </w:rPr>
        <w:t>שבוע 4: מרכז ופריפריה</w:t>
      </w:r>
    </w:p>
    <w:p w:rsidR="003B6D8A" w:rsidRDefault="003B6D8A" w:rsidP="003B6D8A">
      <w:pPr>
        <w:pStyle w:val="a3"/>
        <w:numPr>
          <w:ilvl w:val="0"/>
          <w:numId w:val="9"/>
        </w:numPr>
        <w:rPr>
          <w:rFonts w:asciiTheme="majorBidi" w:hAnsiTheme="majorBidi" w:cstheme="majorBidi"/>
        </w:rPr>
      </w:pPr>
      <w:r w:rsidRPr="003B6D8A">
        <w:rPr>
          <w:rtl/>
        </w:rPr>
        <w:t>שלמה חסון</w:t>
      </w:r>
      <w:r>
        <w:rPr>
          <w:rFonts w:hint="cs"/>
          <w:rtl/>
        </w:rPr>
        <w:t>,</w:t>
      </w:r>
      <w:r w:rsidRPr="003B6D8A">
        <w:rPr>
          <w:rtl/>
        </w:rPr>
        <w:t xml:space="preserve"> </w:t>
      </w:r>
      <w:r>
        <w:rPr>
          <w:rFonts w:hint="cs"/>
          <w:rtl/>
        </w:rPr>
        <w:t>"</w:t>
      </w:r>
      <w:r w:rsidRPr="003B6D8A">
        <w:rPr>
          <w:rtl/>
        </w:rPr>
        <w:t>עיצוב</w:t>
      </w:r>
      <w:r>
        <w:rPr>
          <w:rtl/>
        </w:rPr>
        <w:t xml:space="preserve"> המרחב בישראל בעידן של אי-ודאות</w:t>
      </w:r>
      <w:r>
        <w:rPr>
          <w:rFonts w:hint="cs"/>
          <w:rtl/>
        </w:rPr>
        <w:t xml:space="preserve">" </w:t>
      </w:r>
      <w:r w:rsidRPr="003B6D8A">
        <w:rPr>
          <w:rFonts w:asciiTheme="majorBidi" w:hAnsiTheme="majorBidi" w:cstheme="majorBidi"/>
          <w:i/>
          <w:iCs/>
          <w:rtl/>
        </w:rPr>
        <w:t>הר</w:t>
      </w:r>
      <w:r w:rsidRPr="003B6D8A">
        <w:rPr>
          <w:rFonts w:asciiTheme="majorBidi" w:hAnsiTheme="majorBidi" w:cstheme="majorBidi"/>
          <w:i/>
          <w:iCs/>
          <w:color w:val="32322F"/>
          <w:bdr w:val="none" w:sz="0" w:space="0" w:color="auto" w:frame="1"/>
          <w:rtl/>
        </w:rPr>
        <w:t>ש</w:t>
      </w:r>
      <w:r w:rsidRPr="003B6D8A">
        <w:rPr>
          <w:rStyle w:val="exlresultdetails"/>
          <w:rFonts w:asciiTheme="majorBidi" w:hAnsiTheme="majorBidi" w:cstheme="majorBidi"/>
          <w:i/>
          <w:iCs/>
          <w:color w:val="32322F"/>
          <w:bdr w:val="none" w:sz="0" w:space="0" w:color="auto" w:frame="1"/>
          <w:rtl/>
        </w:rPr>
        <w:t>ת הגאוגרפית</w:t>
      </w:r>
      <w:r w:rsidRPr="003B6D8A">
        <w:rPr>
          <w:rStyle w:val="exlresultdetails"/>
          <w:rFonts w:asciiTheme="majorBidi" w:hAnsiTheme="majorBidi" w:cstheme="majorBidi"/>
          <w:color w:val="32322F"/>
          <w:bdr w:val="none" w:sz="0" w:space="0" w:color="auto" w:frame="1"/>
          <w:rtl/>
        </w:rPr>
        <w:t>, 8 (2015), עמ' 15-39</w:t>
      </w:r>
      <w:r w:rsidRPr="003B6D8A">
        <w:rPr>
          <w:rFonts w:asciiTheme="majorBidi" w:hAnsiTheme="majorBidi" w:cstheme="majorBidi"/>
          <w:color w:val="32322F"/>
          <w:rtl/>
        </w:rPr>
        <w:t> </w:t>
      </w:r>
      <w:r>
        <w:rPr>
          <w:rFonts w:hint="cs"/>
          <w:rtl/>
        </w:rPr>
        <w:t>(מאמר לרפרט)</w:t>
      </w:r>
    </w:p>
    <w:p w:rsidR="003B6D8A" w:rsidRDefault="00D9626F" w:rsidP="00D9626F">
      <w:pPr>
        <w:pStyle w:val="a3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D9626F">
        <w:rPr>
          <w:rFonts w:asciiTheme="majorBidi" w:hAnsiTheme="majorBidi" w:cstheme="majorBidi"/>
        </w:rPr>
        <w:t xml:space="preserve">Rodríguez-Pose, Andrés, and Rune Dahl </w:t>
      </w:r>
      <w:proofErr w:type="spellStart"/>
      <w:r w:rsidRPr="00D9626F">
        <w:rPr>
          <w:rFonts w:asciiTheme="majorBidi" w:hAnsiTheme="majorBidi" w:cstheme="majorBidi"/>
        </w:rPr>
        <w:t>Fitjar</w:t>
      </w:r>
      <w:proofErr w:type="spellEnd"/>
      <w:r w:rsidRPr="00D9626F">
        <w:rPr>
          <w:rFonts w:asciiTheme="majorBidi" w:hAnsiTheme="majorBidi" w:cstheme="majorBidi"/>
        </w:rPr>
        <w:t>. "</w:t>
      </w:r>
      <w:proofErr w:type="gramStart"/>
      <w:r w:rsidRPr="00D9626F">
        <w:rPr>
          <w:rFonts w:asciiTheme="majorBidi" w:hAnsiTheme="majorBidi" w:cstheme="majorBidi"/>
        </w:rPr>
        <w:t>Buzz,</w:t>
      </w:r>
      <w:proofErr w:type="gramEnd"/>
      <w:r w:rsidRPr="00D9626F">
        <w:rPr>
          <w:rFonts w:asciiTheme="majorBidi" w:hAnsiTheme="majorBidi" w:cstheme="majorBidi"/>
        </w:rPr>
        <w:t xml:space="preserve"> archipelago economies and the future of intermediate and peripheral areas in a spiky world." European Planning Studies 21.3 (2013): 355-372</w:t>
      </w:r>
      <w:r w:rsidRPr="00D9626F">
        <w:rPr>
          <w:rFonts w:asciiTheme="majorBidi" w:hAnsiTheme="majorBidi"/>
          <w:rtl/>
        </w:rPr>
        <w:t>.</w:t>
      </w:r>
    </w:p>
    <w:p w:rsidR="00641D74" w:rsidRDefault="00D9626F" w:rsidP="00D9626F">
      <w:pPr>
        <w:rPr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שבוע 5</w:t>
      </w:r>
      <w:r w:rsidR="00641D74">
        <w:rPr>
          <w:rFonts w:hint="cs"/>
          <w:b/>
          <w:bCs/>
          <w:rtl/>
        </w:rPr>
        <w:t>: הזדקנות אוכלוסיה</w:t>
      </w:r>
    </w:p>
    <w:p w:rsidR="00641D74" w:rsidRPr="00D9626F" w:rsidRDefault="00641D74" w:rsidP="00641D74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</w:rPr>
      </w:pPr>
      <w:r w:rsidRPr="00D9626F">
        <w:rPr>
          <w:rFonts w:asciiTheme="majorBidi" w:hAnsiTheme="majorBidi" w:cstheme="majorBidi"/>
          <w:color w:val="222222"/>
          <w:shd w:val="clear" w:color="auto" w:fill="FFFFFF"/>
        </w:rPr>
        <w:t xml:space="preserve">Berkman, Lisa F., Axel </w:t>
      </w:r>
      <w:proofErr w:type="spellStart"/>
      <w:r w:rsidRPr="00D9626F">
        <w:rPr>
          <w:rFonts w:asciiTheme="majorBidi" w:hAnsiTheme="majorBidi" w:cstheme="majorBidi"/>
          <w:color w:val="222222"/>
          <w:shd w:val="clear" w:color="auto" w:fill="FFFFFF"/>
        </w:rPr>
        <w:t>Boersch-Supan</w:t>
      </w:r>
      <w:proofErr w:type="spellEnd"/>
      <w:r w:rsidRPr="00D9626F">
        <w:rPr>
          <w:rFonts w:asciiTheme="majorBidi" w:hAnsiTheme="majorBidi" w:cstheme="majorBidi"/>
          <w:color w:val="222222"/>
          <w:shd w:val="clear" w:color="auto" w:fill="FFFFFF"/>
        </w:rPr>
        <w:t xml:space="preserve">, and Mauricio </w:t>
      </w:r>
      <w:proofErr w:type="spellStart"/>
      <w:r w:rsidRPr="00D9626F">
        <w:rPr>
          <w:rFonts w:asciiTheme="majorBidi" w:hAnsiTheme="majorBidi" w:cstheme="majorBidi"/>
          <w:color w:val="222222"/>
          <w:shd w:val="clear" w:color="auto" w:fill="FFFFFF"/>
        </w:rPr>
        <w:t>Avendano</w:t>
      </w:r>
      <w:proofErr w:type="spellEnd"/>
      <w:r w:rsidRPr="00D9626F">
        <w:rPr>
          <w:rFonts w:asciiTheme="majorBidi" w:hAnsiTheme="majorBidi" w:cstheme="majorBidi"/>
          <w:color w:val="222222"/>
          <w:shd w:val="clear" w:color="auto" w:fill="FFFFFF"/>
        </w:rPr>
        <w:t>. "Labor-force participation, policies &amp; practices in an aging America: Adaptation essential for a healthy &amp; resilient population." </w:t>
      </w:r>
      <w:r w:rsidRPr="00D9626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Daedalus</w:t>
      </w:r>
      <w:r w:rsidRPr="00D9626F">
        <w:rPr>
          <w:rFonts w:asciiTheme="majorBidi" w:hAnsiTheme="majorBidi" w:cstheme="majorBidi"/>
          <w:color w:val="222222"/>
          <w:shd w:val="clear" w:color="auto" w:fill="FFFFFF"/>
        </w:rPr>
        <w:t xml:space="preserve"> 144.2 (2015): 41-54. </w:t>
      </w:r>
      <w:r w:rsidRPr="00D9626F">
        <w:rPr>
          <w:rFonts w:asciiTheme="majorBidi" w:hAnsiTheme="majorBidi" w:cstheme="majorBidi"/>
          <w:color w:val="222222"/>
          <w:shd w:val="clear" w:color="auto" w:fill="FFFFFF"/>
          <w:rtl/>
        </w:rPr>
        <w:t>(מאמר רפרט)</w:t>
      </w:r>
    </w:p>
    <w:p w:rsidR="00641D74" w:rsidRPr="00D9626F" w:rsidRDefault="00641D74" w:rsidP="00641D74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</w:rPr>
      </w:pPr>
      <w:r w:rsidRPr="00D9626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 Economist</w:t>
      </w:r>
      <w:r w:rsidRPr="00D9626F">
        <w:rPr>
          <w:rFonts w:asciiTheme="majorBidi" w:hAnsiTheme="majorBidi" w:cstheme="majorBidi"/>
          <w:color w:val="222222"/>
          <w:shd w:val="clear" w:color="auto" w:fill="FFFFFF"/>
        </w:rPr>
        <w:t>, "Fade to Gray" September 24, 2016</w:t>
      </w:r>
    </w:p>
    <w:p w:rsidR="00E3750F" w:rsidRDefault="00E3750F">
      <w:pPr>
        <w:bidi w:val="0"/>
        <w:spacing w:after="160"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641D74" w:rsidRDefault="00641D74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שבוע </w:t>
      </w:r>
      <w:r w:rsidR="00D9626F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: טיפול סיעודי ומערכת הבריאות</w:t>
      </w:r>
    </w:p>
    <w:p w:rsidR="00827E68" w:rsidRDefault="00E3750F" w:rsidP="00B561B1">
      <w:pPr>
        <w:pStyle w:val="a3"/>
        <w:numPr>
          <w:ilvl w:val="0"/>
          <w:numId w:val="17"/>
        </w:numPr>
        <w:bidi w:val="0"/>
      </w:pPr>
      <w:r w:rsidRPr="00B561B1">
        <w:rPr>
          <w:noProof/>
        </w:rPr>
        <w:t xml:space="preserve">Ranci, C. and E. Pavolini (2015). "Not all that glitters is gold: Long-term care reforms in the last two decades in Europe." </w:t>
      </w:r>
      <w:r w:rsidRPr="00E3750F">
        <w:rPr>
          <w:i/>
          <w:iCs/>
          <w:noProof/>
        </w:rPr>
        <w:t>Journal of European Social Policy</w:t>
      </w:r>
      <w:r>
        <w:t xml:space="preserve"> </w:t>
      </w:r>
      <w:r>
        <w:rPr>
          <w:rFonts w:hint="cs"/>
          <w:rtl/>
        </w:rPr>
        <w:t>(מאמר לרפרט)</w:t>
      </w:r>
    </w:p>
    <w:p w:rsidR="00B561B1" w:rsidRDefault="00E3750F" w:rsidP="00B561B1">
      <w:pPr>
        <w:pStyle w:val="a3"/>
        <w:numPr>
          <w:ilvl w:val="0"/>
          <w:numId w:val="17"/>
        </w:numPr>
        <w:bidi w:val="0"/>
      </w:pPr>
      <w:proofErr w:type="spellStart"/>
      <w:r>
        <w:t>Borowski</w:t>
      </w:r>
      <w:proofErr w:type="spellEnd"/>
      <w:r>
        <w:t xml:space="preserve">, Allan (2015), "Israel's Long Term Care Social Insurance Scheme After a Quarter of a Century" </w:t>
      </w:r>
      <w:r>
        <w:rPr>
          <w:i/>
          <w:iCs/>
        </w:rPr>
        <w:t xml:space="preserve">Journal of Aging &amp; Social Policy </w:t>
      </w:r>
      <w:r>
        <w:t>27:3, 195-214</w:t>
      </w:r>
    </w:p>
    <w:p w:rsidR="00080AED" w:rsidRDefault="00080AED" w:rsidP="00D9626F">
      <w:pPr>
        <w:rPr>
          <w:b/>
          <w:bCs/>
          <w:rtl/>
        </w:rPr>
      </w:pPr>
    </w:p>
    <w:p w:rsidR="00827E68" w:rsidRDefault="00827E68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שבוע </w:t>
      </w:r>
      <w:r w:rsidR="00D9626F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 xml:space="preserve">: </w:t>
      </w:r>
      <w:r w:rsidR="00D9626F">
        <w:rPr>
          <w:rFonts w:hint="cs"/>
          <w:b/>
          <w:bCs/>
          <w:rtl/>
        </w:rPr>
        <w:t>הטרוגניות חברתית והגירה</w:t>
      </w:r>
    </w:p>
    <w:p w:rsidR="008A482A" w:rsidRDefault="008A6DA2" w:rsidP="008A6DA2">
      <w:pPr>
        <w:pStyle w:val="a3"/>
        <w:numPr>
          <w:ilvl w:val="0"/>
          <w:numId w:val="13"/>
        </w:numPr>
        <w:bidi w:val="0"/>
      </w:pPr>
      <w:r w:rsidRPr="008A6DA2">
        <w:t xml:space="preserve">Alberto </w:t>
      </w:r>
      <w:proofErr w:type="spellStart"/>
      <w:r w:rsidRPr="008A6DA2">
        <w:t>Alesina</w:t>
      </w:r>
      <w:proofErr w:type="spellEnd"/>
      <w:r w:rsidRPr="008A6DA2">
        <w:t xml:space="preserve"> and Edward </w:t>
      </w:r>
      <w:proofErr w:type="spellStart"/>
      <w:r w:rsidRPr="008A6DA2">
        <w:t>Glaeser</w:t>
      </w:r>
      <w:proofErr w:type="spellEnd"/>
      <w:r>
        <w:t xml:space="preserve">, "Race and Redistribution" in </w:t>
      </w:r>
      <w:r w:rsidRPr="008A6DA2">
        <w:rPr>
          <w:i/>
          <w:iCs/>
        </w:rPr>
        <w:t>Fighting Poverty in the US and Europe: A World of Difference</w:t>
      </w:r>
      <w:r>
        <w:t xml:space="preserve"> (2004), Oxford, Oxford University Press </w:t>
      </w:r>
      <w:r>
        <w:rPr>
          <w:rFonts w:hint="cs"/>
          <w:rtl/>
        </w:rPr>
        <w:t>(מאמר רפרט)</w:t>
      </w:r>
    </w:p>
    <w:p w:rsidR="008A6DA2" w:rsidRPr="008A6DA2" w:rsidRDefault="008A482A" w:rsidP="008A482A">
      <w:pPr>
        <w:pStyle w:val="a3"/>
        <w:numPr>
          <w:ilvl w:val="0"/>
          <w:numId w:val="13"/>
        </w:numPr>
        <w:bidi w:val="0"/>
        <w:rPr>
          <w:rtl/>
        </w:rPr>
      </w:pPr>
      <w:r w:rsidRPr="008A482A">
        <w:t>Parker, Owen. "Critical political economy, free movement and Brexit: Beyond the progressive’s dilemma." The British Journal of Politics and International Relations 19.3 (2017): 479-496.</w:t>
      </w:r>
      <w:r w:rsidR="008A6DA2">
        <w:t xml:space="preserve"> </w:t>
      </w:r>
    </w:p>
    <w:p w:rsidR="00080AED" w:rsidRDefault="00080AED" w:rsidP="00D9626F">
      <w:pPr>
        <w:rPr>
          <w:b/>
          <w:bCs/>
          <w:rtl/>
        </w:rPr>
      </w:pPr>
    </w:p>
    <w:p w:rsidR="00D9626F" w:rsidRDefault="00D9626F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>שבוע 8: השינוי בתמהיל הדמוגרפי בישראל</w:t>
      </w:r>
    </w:p>
    <w:p w:rsidR="00731167" w:rsidRDefault="00731167" w:rsidP="00731167">
      <w:pPr>
        <w:pStyle w:val="a3"/>
        <w:numPr>
          <w:ilvl w:val="0"/>
          <w:numId w:val="14"/>
        </w:numPr>
        <w:bidi w:val="0"/>
      </w:pPr>
      <w:proofErr w:type="spellStart"/>
      <w:r w:rsidRPr="00731167">
        <w:t>Peled</w:t>
      </w:r>
      <w:proofErr w:type="spellEnd"/>
      <w:r w:rsidRPr="00731167">
        <w:t xml:space="preserve">, </w:t>
      </w:r>
      <w:proofErr w:type="spellStart"/>
      <w:r w:rsidRPr="00731167">
        <w:t>Yoav</w:t>
      </w:r>
      <w:proofErr w:type="spellEnd"/>
      <w:r w:rsidRPr="00731167">
        <w:t>. "The viability of ethnic democracy: Jewish citizens in inter-war Poland and Palestinian citizens in Israel." Ethnic and Rac</w:t>
      </w:r>
      <w:r>
        <w:t xml:space="preserve">ial Studies 34.1 (2011): 83-102 </w:t>
      </w:r>
      <w:r>
        <w:rPr>
          <w:rFonts w:hint="cs"/>
          <w:rtl/>
        </w:rPr>
        <w:t>(מאמר לרפרט)</w:t>
      </w:r>
    </w:p>
    <w:p w:rsidR="00731167" w:rsidRPr="00731167" w:rsidRDefault="00D55360" w:rsidP="00D55360">
      <w:pPr>
        <w:pStyle w:val="a3"/>
        <w:numPr>
          <w:ilvl w:val="0"/>
          <w:numId w:val="14"/>
        </w:numPr>
        <w:bidi w:val="0"/>
      </w:pPr>
      <w:proofErr w:type="spellStart"/>
      <w:r>
        <w:t>Breznitz</w:t>
      </w:r>
      <w:proofErr w:type="spellEnd"/>
      <w:r>
        <w:t xml:space="preserve">, Dan and Amos </w:t>
      </w:r>
      <w:proofErr w:type="spellStart"/>
      <w:r>
        <w:t>Zehavi</w:t>
      </w:r>
      <w:proofErr w:type="spellEnd"/>
      <w:r>
        <w:t>, "</w:t>
      </w:r>
      <w:r w:rsidRPr="00D55360">
        <w:t>Ladders Instead of Crutches: Balancing Primary Labor Market Integration with Cultural Preferences</w:t>
      </w:r>
      <w:r>
        <w:t>" 2018.</w:t>
      </w:r>
    </w:p>
    <w:p w:rsidR="00D9626F" w:rsidRDefault="00D9626F" w:rsidP="00D9626F">
      <w:pPr>
        <w:rPr>
          <w:b/>
          <w:bCs/>
          <w:rtl/>
        </w:rPr>
      </w:pPr>
    </w:p>
    <w:p w:rsidR="00D9626F" w:rsidRDefault="00D9626F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>שבוע 9: חילון, הדתה ומאבקים ערכיים בחברה</w:t>
      </w:r>
    </w:p>
    <w:p w:rsidR="00680A00" w:rsidRPr="008A5A6D" w:rsidRDefault="00680A00" w:rsidP="00680A00">
      <w:pPr>
        <w:pStyle w:val="a3"/>
        <w:numPr>
          <w:ilvl w:val="0"/>
          <w:numId w:val="12"/>
        </w:numPr>
        <w:bidi w:val="0"/>
        <w:rPr>
          <w:rFonts w:asciiTheme="majorBidi" w:hAnsiTheme="majorBidi" w:cstheme="majorBidi"/>
        </w:rPr>
      </w:pPr>
      <w:proofErr w:type="spellStart"/>
      <w:r w:rsidRPr="00680A00">
        <w:t>Zehavi</w:t>
      </w:r>
      <w:proofErr w:type="spellEnd"/>
      <w:r w:rsidRPr="00680A00">
        <w:t xml:space="preserve">, Amos. "Moving in Opposite Directions? Religious Involvement in </w:t>
      </w:r>
      <w:r w:rsidRPr="008A5A6D">
        <w:rPr>
          <w:rFonts w:asciiTheme="majorBidi" w:hAnsiTheme="majorBidi" w:cstheme="majorBidi"/>
        </w:rPr>
        <w:t xml:space="preserve">Welfare Provision in Israel and the Low Countries." Social Service Review 86.3 (2012): 429-453 </w:t>
      </w:r>
      <w:r w:rsidRPr="008A5A6D">
        <w:rPr>
          <w:rFonts w:asciiTheme="majorBidi" w:hAnsiTheme="majorBidi" w:cstheme="majorBidi"/>
          <w:rtl/>
        </w:rPr>
        <w:t>(מאמר רפרט)</w:t>
      </w:r>
      <w:r w:rsidRPr="008A5A6D">
        <w:rPr>
          <w:rFonts w:asciiTheme="majorBidi" w:hAnsiTheme="majorBidi" w:cstheme="majorBidi"/>
        </w:rPr>
        <w:t>.</w:t>
      </w:r>
    </w:p>
    <w:p w:rsidR="008A5A6D" w:rsidRPr="008A5A6D" w:rsidRDefault="008A5A6D" w:rsidP="008A5A6D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 w:rsidRPr="008A5A6D">
        <w:rPr>
          <w:rFonts w:asciiTheme="majorBidi" w:hAnsiTheme="majorBidi" w:cstheme="majorBidi"/>
          <w:color w:val="333333"/>
          <w:shd w:val="clear" w:color="auto" w:fill="FFFFFF"/>
        </w:rPr>
        <w:t>'</w:t>
      </w:r>
      <w:r w:rsidRPr="008A5A6D">
        <w:rPr>
          <w:rFonts w:asciiTheme="majorBidi" w:hAnsiTheme="majorBidi" w:cstheme="majorBidi"/>
          <w:color w:val="333333"/>
          <w:shd w:val="clear" w:color="auto" w:fill="FFFFFF"/>
          <w:rtl/>
        </w:rPr>
        <w:t>ידידיה שטרן, משבר הזהות של מדינת ישראל</w:t>
      </w:r>
      <w:r w:rsidRPr="008A5A6D">
        <w:rPr>
          <w:rFonts w:asciiTheme="majorBidi" w:hAnsiTheme="majorBidi" w:cstheme="majorBidi"/>
          <w:color w:val="333333"/>
          <w:shd w:val="clear" w:color="auto" w:fill="FFFFFF"/>
        </w:rPr>
        <w:t>.”</w:t>
      </w:r>
      <w:r w:rsidRPr="008A5A6D">
        <w:rPr>
          <w:rFonts w:asciiTheme="majorBidi" w:hAnsiTheme="majorBidi" w:cstheme="majorBidi"/>
          <w:i/>
          <w:iCs/>
          <w:color w:val="333333"/>
          <w:shd w:val="clear" w:color="auto" w:fill="FFFFFF"/>
          <w:rtl/>
        </w:rPr>
        <w:t>"</w:t>
      </w:r>
      <w:r w:rsidRPr="008A5A6D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</w:t>
      </w:r>
      <w:r w:rsidRPr="008A5A6D">
        <w:rPr>
          <w:rFonts w:asciiTheme="majorBidi" w:hAnsiTheme="majorBidi" w:cstheme="majorBidi"/>
          <w:i/>
          <w:iCs/>
          <w:color w:val="333333"/>
          <w:shd w:val="clear" w:color="auto" w:fill="FFFFFF"/>
          <w:rtl/>
        </w:rPr>
        <w:t>תרבות דמוקרטית</w:t>
      </w:r>
      <w:r w:rsidRPr="008A5A6D">
        <w:rPr>
          <w:rFonts w:asciiTheme="majorBidi" w:hAnsiTheme="majorBidi" w:cstheme="majorBidi"/>
          <w:color w:val="333333"/>
          <w:shd w:val="clear" w:color="auto" w:fill="FFFFFF"/>
        </w:rPr>
        <w:t>, vol. 14, 2012-, </w:t>
      </w:r>
      <w:r w:rsidRPr="008A5A6D">
        <w:rPr>
          <w:rFonts w:asciiTheme="majorBidi" w:hAnsiTheme="majorBidi" w:cstheme="majorBidi"/>
          <w:rtl/>
        </w:rPr>
        <w:t xml:space="preserve"> עמודים 257-275</w:t>
      </w:r>
    </w:p>
    <w:p w:rsidR="00D9626F" w:rsidRDefault="00D9626F" w:rsidP="00D9626F">
      <w:pPr>
        <w:rPr>
          <w:b/>
          <w:bCs/>
          <w:rtl/>
        </w:rPr>
      </w:pPr>
    </w:p>
    <w:p w:rsidR="00D9626F" w:rsidRDefault="00D9626F" w:rsidP="00241936">
      <w:pPr>
        <w:rPr>
          <w:b/>
          <w:bCs/>
          <w:rtl/>
        </w:rPr>
      </w:pPr>
      <w:r>
        <w:rPr>
          <w:rFonts w:hint="cs"/>
          <w:b/>
          <w:bCs/>
          <w:rtl/>
        </w:rPr>
        <w:t>שבוע 10: הירארכיית המידע: למי נאמין?</w:t>
      </w:r>
    </w:p>
    <w:p w:rsidR="00241936" w:rsidRDefault="00241936" w:rsidP="00241936">
      <w:pPr>
        <w:pStyle w:val="a3"/>
        <w:numPr>
          <w:ilvl w:val="0"/>
          <w:numId w:val="11"/>
        </w:numPr>
        <w:bidi w:val="0"/>
      </w:pPr>
      <w:r w:rsidRPr="00241936">
        <w:t>Lewandowsky, Stephan, Ullrich KH Ecker, and John Cook. "Beyond Misinformation: Understanding and Coping with the “Post-Truth” Era." Journal of Applied Research in Memory and Cognition 6.4 (2017): 353-369</w:t>
      </w:r>
      <w:r>
        <w:t xml:space="preserve"> </w:t>
      </w:r>
      <w:r>
        <w:rPr>
          <w:rFonts w:hint="cs"/>
          <w:rtl/>
        </w:rPr>
        <w:t>(מאמר רפרט)</w:t>
      </w:r>
      <w:r w:rsidRPr="00241936">
        <w:rPr>
          <w:rtl/>
        </w:rPr>
        <w:t>.</w:t>
      </w:r>
    </w:p>
    <w:p w:rsidR="00680A00" w:rsidRPr="00241936" w:rsidRDefault="00680A00" w:rsidP="00680A00">
      <w:pPr>
        <w:pStyle w:val="a3"/>
        <w:numPr>
          <w:ilvl w:val="0"/>
          <w:numId w:val="11"/>
        </w:numPr>
        <w:bidi w:val="0"/>
        <w:rPr>
          <w:rtl/>
        </w:rPr>
      </w:pPr>
      <w:r>
        <w:t xml:space="preserve">Hannah Arendt, "Truth and Politics" (1967)  </w:t>
      </w:r>
      <w:r>
        <w:rPr>
          <w:i/>
          <w:iCs/>
        </w:rPr>
        <w:t xml:space="preserve">New Yorker </w:t>
      </w:r>
    </w:p>
    <w:p w:rsidR="00D9626F" w:rsidRDefault="00D9626F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שבוע 11: התחממות גלובאלית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מה המשבר, מי מתמודד ומה יהיה? </w:t>
      </w:r>
    </w:p>
    <w:p w:rsidR="00AE4F82" w:rsidRDefault="00AE4F82" w:rsidP="00AE4F82">
      <w:pPr>
        <w:pStyle w:val="a3"/>
        <w:numPr>
          <w:ilvl w:val="0"/>
          <w:numId w:val="15"/>
        </w:numPr>
        <w:bidi w:val="0"/>
      </w:pPr>
      <w:r w:rsidRPr="00AE4F82">
        <w:t>Watts, Nick, et al. "Health and climate change: policy responses to protect public health." The Lancet 386.10006 (2015): 1861-1914.</w:t>
      </w:r>
      <w:r>
        <w:t xml:space="preserve"> For presentation, Section 1 and one of sections 2 to 5 </w:t>
      </w:r>
      <w:r>
        <w:rPr>
          <w:rFonts w:hint="cs"/>
          <w:rtl/>
        </w:rPr>
        <w:t>(מאמר לרפרט)</w:t>
      </w:r>
    </w:p>
    <w:p w:rsidR="00AE4F82" w:rsidRPr="00AE4F82" w:rsidRDefault="00AE4F82" w:rsidP="00F322B0">
      <w:pPr>
        <w:pStyle w:val="a3"/>
        <w:numPr>
          <w:ilvl w:val="0"/>
          <w:numId w:val="15"/>
        </w:numPr>
        <w:bidi w:val="0"/>
      </w:pPr>
      <w:r>
        <w:t xml:space="preserve"> </w:t>
      </w:r>
      <w:r w:rsidR="00F322B0" w:rsidRPr="00F322B0">
        <w:t xml:space="preserve">Michaels, Lucy, and </w:t>
      </w:r>
      <w:proofErr w:type="spellStart"/>
      <w:r w:rsidR="00F322B0" w:rsidRPr="00F322B0">
        <w:t>Alon</w:t>
      </w:r>
      <w:proofErr w:type="spellEnd"/>
      <w:r w:rsidR="00F322B0" w:rsidRPr="00F322B0">
        <w:t xml:space="preserve"> Tal. "Convergence and conflict with the ‘National Interest’: Why Israel abandoned its climate policy." Energy Policy 87 (2015): 480-485.</w:t>
      </w:r>
    </w:p>
    <w:p w:rsidR="00D9626F" w:rsidRDefault="00D9626F" w:rsidP="00D9626F">
      <w:pPr>
        <w:rPr>
          <w:b/>
          <w:bCs/>
          <w:rtl/>
        </w:rPr>
      </w:pPr>
      <w:r>
        <w:rPr>
          <w:rFonts w:hint="cs"/>
          <w:b/>
          <w:bCs/>
          <w:rtl/>
        </w:rPr>
        <w:t>שבוע 12-13: הצגת רעיונות לעבודות סמינר</w:t>
      </w:r>
    </w:p>
    <w:p w:rsidR="00B561B1" w:rsidRDefault="00B561B1" w:rsidP="00827E68">
      <w:pPr>
        <w:pStyle w:val="a3"/>
        <w:rPr>
          <w:rtl/>
        </w:rPr>
      </w:pPr>
    </w:p>
    <w:p w:rsidR="00B561B1" w:rsidRDefault="00B561B1" w:rsidP="00827E68">
      <w:pPr>
        <w:pStyle w:val="a3"/>
        <w:rPr>
          <w:rtl/>
        </w:rPr>
      </w:pPr>
    </w:p>
    <w:p w:rsidR="00827E68" w:rsidRPr="00827E68" w:rsidRDefault="00B561B1" w:rsidP="00B561B1">
      <w:pPr>
        <w:pStyle w:val="a3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EN.REFLIST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sectPr w:rsidR="00827E68" w:rsidRPr="00827E68" w:rsidSect="00641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25"/>
    <w:multiLevelType w:val="hybridMultilevel"/>
    <w:tmpl w:val="AB2E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3DDB"/>
    <w:multiLevelType w:val="hybridMultilevel"/>
    <w:tmpl w:val="A2A0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002E"/>
    <w:multiLevelType w:val="hybridMultilevel"/>
    <w:tmpl w:val="6A7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B3"/>
    <w:multiLevelType w:val="hybridMultilevel"/>
    <w:tmpl w:val="5C78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5DA8"/>
    <w:multiLevelType w:val="hybridMultilevel"/>
    <w:tmpl w:val="E02C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4043"/>
    <w:multiLevelType w:val="hybridMultilevel"/>
    <w:tmpl w:val="D8BC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450"/>
    <w:multiLevelType w:val="hybridMultilevel"/>
    <w:tmpl w:val="9476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76386"/>
    <w:multiLevelType w:val="hybridMultilevel"/>
    <w:tmpl w:val="1AA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49BF"/>
    <w:multiLevelType w:val="hybridMultilevel"/>
    <w:tmpl w:val="D2EA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467"/>
    <w:multiLevelType w:val="hybridMultilevel"/>
    <w:tmpl w:val="0AF6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2D36"/>
    <w:multiLevelType w:val="hybridMultilevel"/>
    <w:tmpl w:val="661A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3EB0"/>
    <w:multiLevelType w:val="hybridMultilevel"/>
    <w:tmpl w:val="3D1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7A0B"/>
    <w:multiLevelType w:val="hybridMultilevel"/>
    <w:tmpl w:val="7AA8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422A"/>
    <w:multiLevelType w:val="hybridMultilevel"/>
    <w:tmpl w:val="B79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D6F43"/>
    <w:multiLevelType w:val="hybridMultilevel"/>
    <w:tmpl w:val="8794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F1929"/>
    <w:multiLevelType w:val="hybridMultilevel"/>
    <w:tmpl w:val="14FAF77A"/>
    <w:lvl w:ilvl="0" w:tplc="38B83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D7A88"/>
    <w:multiLevelType w:val="hybridMultilevel"/>
    <w:tmpl w:val="0B7E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D1CAE"/>
    <w:multiLevelType w:val="hybridMultilevel"/>
    <w:tmpl w:val="E782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9f25xwttrwspez906xd0rk0zdx9vvpf2p9&quot;&gt;new RP list&lt;record-ids&gt;&lt;item&gt;455&lt;/item&gt;&lt;/record-ids&gt;&lt;/item&gt;&lt;/Libraries&gt;"/>
  </w:docVars>
  <w:rsids>
    <w:rsidRoot w:val="008233D2"/>
    <w:rsid w:val="00080AED"/>
    <w:rsid w:val="000B2979"/>
    <w:rsid w:val="000D00DF"/>
    <w:rsid w:val="000E2687"/>
    <w:rsid w:val="00191756"/>
    <w:rsid w:val="001970C6"/>
    <w:rsid w:val="00241936"/>
    <w:rsid w:val="002B5651"/>
    <w:rsid w:val="003B6D8A"/>
    <w:rsid w:val="005130C4"/>
    <w:rsid w:val="00641D74"/>
    <w:rsid w:val="00680A00"/>
    <w:rsid w:val="006C220F"/>
    <w:rsid w:val="00731167"/>
    <w:rsid w:val="00744AED"/>
    <w:rsid w:val="008233D2"/>
    <w:rsid w:val="00827E68"/>
    <w:rsid w:val="008A482A"/>
    <w:rsid w:val="008A5A6D"/>
    <w:rsid w:val="008A6DA2"/>
    <w:rsid w:val="00A223FC"/>
    <w:rsid w:val="00AE4F82"/>
    <w:rsid w:val="00B561B1"/>
    <w:rsid w:val="00BE2C68"/>
    <w:rsid w:val="00CA79DA"/>
    <w:rsid w:val="00D55360"/>
    <w:rsid w:val="00D9626F"/>
    <w:rsid w:val="00DE77D7"/>
    <w:rsid w:val="00E3750F"/>
    <w:rsid w:val="00F322B0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2"/>
    <w:pPr>
      <w:bidi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6D8A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6D8A"/>
    <w:pPr>
      <w:bidi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1D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27E68"/>
    <w:rPr>
      <w:color w:val="0563C1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3B6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B6D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lresultdetails">
    <w:name w:val="exlresultdetails"/>
    <w:basedOn w:val="a0"/>
    <w:rsid w:val="003B6D8A"/>
  </w:style>
  <w:style w:type="paragraph" w:customStyle="1" w:styleId="EndNoteBibliographyTitle">
    <w:name w:val="EndNote Bibliography Title"/>
    <w:basedOn w:val="a"/>
    <w:link w:val="EndNoteBibliographyTitleChar"/>
    <w:rsid w:val="00B561B1"/>
    <w:pPr>
      <w:spacing w:after="0"/>
      <w:jc w:val="center"/>
    </w:pPr>
    <w:rPr>
      <w:noProof/>
    </w:rPr>
  </w:style>
  <w:style w:type="character" w:customStyle="1" w:styleId="a4">
    <w:name w:val="פיסקת רשימה תו"/>
    <w:basedOn w:val="a0"/>
    <w:link w:val="a3"/>
    <w:uiPriority w:val="34"/>
    <w:rsid w:val="00B561B1"/>
    <w:rPr>
      <w:rFonts w:ascii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a4"/>
    <w:link w:val="EndNoteBibliographyTitle"/>
    <w:rsid w:val="00B561B1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B561B1"/>
    <w:pPr>
      <w:spacing w:line="240" w:lineRule="auto"/>
      <w:jc w:val="right"/>
    </w:pPr>
    <w:rPr>
      <w:noProof/>
    </w:rPr>
  </w:style>
  <w:style w:type="character" w:customStyle="1" w:styleId="EndNoteBibliographyChar">
    <w:name w:val="EndNote Bibliography Char"/>
    <w:basedOn w:val="a4"/>
    <w:link w:val="EndNoteBibliography"/>
    <w:rsid w:val="00B561B1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2"/>
    <w:pPr>
      <w:bidi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6D8A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6D8A"/>
    <w:pPr>
      <w:bidi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1D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27E68"/>
    <w:rPr>
      <w:color w:val="0563C1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3B6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3B6D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lresultdetails">
    <w:name w:val="exlresultdetails"/>
    <w:basedOn w:val="a0"/>
    <w:rsid w:val="003B6D8A"/>
  </w:style>
  <w:style w:type="paragraph" w:customStyle="1" w:styleId="EndNoteBibliographyTitle">
    <w:name w:val="EndNote Bibliography Title"/>
    <w:basedOn w:val="a"/>
    <w:link w:val="EndNoteBibliographyTitleChar"/>
    <w:rsid w:val="00B561B1"/>
    <w:pPr>
      <w:spacing w:after="0"/>
      <w:jc w:val="center"/>
    </w:pPr>
    <w:rPr>
      <w:noProof/>
    </w:rPr>
  </w:style>
  <w:style w:type="character" w:customStyle="1" w:styleId="a4">
    <w:name w:val="פיסקת רשימה תו"/>
    <w:basedOn w:val="a0"/>
    <w:link w:val="a3"/>
    <w:uiPriority w:val="34"/>
    <w:rsid w:val="00B561B1"/>
    <w:rPr>
      <w:rFonts w:ascii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a4"/>
    <w:link w:val="EndNoteBibliographyTitle"/>
    <w:rsid w:val="00B561B1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B561B1"/>
    <w:pPr>
      <w:spacing w:line="240" w:lineRule="auto"/>
      <w:jc w:val="right"/>
    </w:pPr>
    <w:rPr>
      <w:noProof/>
    </w:rPr>
  </w:style>
  <w:style w:type="character" w:customStyle="1" w:styleId="EndNoteBibliographyChar">
    <w:name w:val="EndNote Bibliography Char"/>
    <w:basedOn w:val="a4"/>
    <w:link w:val="EndNoteBibliography"/>
    <w:rsid w:val="00B561B1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832601262">
          <w:marLeft w:val="21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usiness.mit.edu/research/Briefs/Brynjolfsson_McAfee_Race_Against_the_Machi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898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2018-02-15T13:37:00Z</dcterms:created>
  <dcterms:modified xsi:type="dcterms:W3CDTF">2018-02-27T15:04:00Z</dcterms:modified>
</cp:coreProperties>
</file>