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E6" w:rsidRDefault="002D3BE6" w:rsidP="00441394">
      <w:pPr>
        <w:pStyle w:val="a3"/>
        <w:ind w:left="84"/>
        <w:jc w:val="right"/>
        <w:rPr>
          <w:b w:val="0"/>
          <w:bCs w:val="0"/>
          <w:sz w:val="20"/>
          <w:szCs w:val="20"/>
          <w:rtl/>
        </w:rPr>
      </w:pPr>
      <w:bookmarkStart w:id="0" w:name="_GoBack"/>
      <w:bookmarkEnd w:id="0"/>
      <w:r>
        <w:rPr>
          <w:rFonts w:hint="cs"/>
          <w:b w:val="0"/>
          <w:bCs w:val="0"/>
          <w:sz w:val="20"/>
          <w:szCs w:val="20"/>
          <w:rtl/>
        </w:rPr>
        <w:t xml:space="preserve">                                                                                                                                               אוניברסיטת</w:t>
      </w:r>
      <w:r w:rsidR="00441394">
        <w:rPr>
          <w:rFonts w:hint="cs"/>
          <w:b w:val="0"/>
          <w:bCs w:val="0"/>
          <w:sz w:val="20"/>
          <w:szCs w:val="20"/>
          <w:rtl/>
        </w:rPr>
        <w:t xml:space="preserve"> </w:t>
      </w:r>
      <w:r>
        <w:rPr>
          <w:rFonts w:hint="cs"/>
          <w:b w:val="0"/>
          <w:bCs w:val="0"/>
          <w:sz w:val="20"/>
          <w:szCs w:val="20"/>
          <w:rtl/>
        </w:rPr>
        <w:t>תל אביב</w:t>
      </w:r>
    </w:p>
    <w:p w:rsidR="002D3BE6" w:rsidRDefault="002D3BE6" w:rsidP="002D3BE6">
      <w:pPr>
        <w:pStyle w:val="a3"/>
        <w:tabs>
          <w:tab w:val="left" w:pos="6266"/>
          <w:tab w:val="right" w:pos="8306"/>
        </w:tabs>
        <w:ind w:left="84"/>
        <w:jc w:val="right"/>
        <w:rPr>
          <w:b w:val="0"/>
          <w:bCs w:val="0"/>
          <w:sz w:val="32"/>
          <w:szCs w:val="32"/>
          <w:rtl/>
        </w:rPr>
      </w:pPr>
      <w:r>
        <w:rPr>
          <w:b w:val="0"/>
          <w:bCs w:val="0"/>
          <w:sz w:val="20"/>
          <w:szCs w:val="20"/>
          <w:rtl/>
        </w:rPr>
        <w:tab/>
      </w:r>
      <w:r>
        <w:rPr>
          <w:b w:val="0"/>
          <w:bCs w:val="0"/>
          <w:sz w:val="20"/>
          <w:szCs w:val="20"/>
          <w:rtl/>
        </w:rPr>
        <w:tab/>
      </w:r>
      <w:r>
        <w:rPr>
          <w:rFonts w:hint="cs"/>
          <w:b w:val="0"/>
          <w:bCs w:val="0"/>
          <w:sz w:val="20"/>
          <w:szCs w:val="20"/>
          <w:rtl/>
        </w:rPr>
        <w:t xml:space="preserve"> הפקולטה למדעי החברה</w:t>
      </w:r>
    </w:p>
    <w:p w:rsidR="002D3BE6" w:rsidRPr="00A76F30" w:rsidRDefault="002D3BE6" w:rsidP="002D3BE6">
      <w:pPr>
        <w:pStyle w:val="a3"/>
        <w:bidi w:val="0"/>
        <w:ind w:left="84"/>
        <w:rPr>
          <w:sz w:val="32"/>
          <w:szCs w:val="32"/>
          <w:u w:val="single"/>
          <w:rtl/>
        </w:rPr>
      </w:pPr>
      <w:r w:rsidRPr="00A76F30">
        <w:rPr>
          <w:rFonts w:hint="cs"/>
          <w:sz w:val="32"/>
          <w:szCs w:val="32"/>
          <w:u w:val="single"/>
          <w:rtl/>
        </w:rPr>
        <w:t>מבוא לפסיכולוגיה לתלמידי מדעי החברה</w:t>
      </w:r>
    </w:p>
    <w:p w:rsidR="002D3BE6" w:rsidRPr="00A76F30" w:rsidRDefault="002D3BE6" w:rsidP="002D3BE6">
      <w:pPr>
        <w:pStyle w:val="a3"/>
        <w:bidi w:val="0"/>
        <w:spacing w:before="240"/>
        <w:ind w:left="84"/>
        <w:rPr>
          <w:sz w:val="32"/>
          <w:szCs w:val="32"/>
          <w:rtl/>
        </w:rPr>
      </w:pPr>
      <w:r w:rsidRPr="00A76F30">
        <w:rPr>
          <w:rFonts w:ascii="Arial" w:hAnsi="Arial" w:cs="Arial"/>
          <w:sz w:val="22"/>
          <w:szCs w:val="22"/>
          <w:rtl/>
        </w:rPr>
        <w:t>1009</w:t>
      </w:r>
      <w:r w:rsidRPr="00A76F30">
        <w:rPr>
          <w:rFonts w:ascii="Arial" w:hAnsi="Arial" w:cs="Arial" w:hint="cs"/>
          <w:sz w:val="22"/>
          <w:szCs w:val="22"/>
          <w:rtl/>
        </w:rPr>
        <w:t>.</w:t>
      </w:r>
      <w:r w:rsidRPr="00A76F30">
        <w:rPr>
          <w:rFonts w:ascii="Arial" w:hAnsi="Arial" w:cs="Arial"/>
          <w:sz w:val="22"/>
          <w:szCs w:val="22"/>
          <w:rtl/>
        </w:rPr>
        <w:t>1820</w:t>
      </w:r>
      <w:r w:rsidRPr="00A76F30">
        <w:rPr>
          <w:rFonts w:ascii="Arial" w:hAnsi="Arial" w:cs="Arial" w:hint="cs"/>
          <w:sz w:val="22"/>
          <w:szCs w:val="22"/>
          <w:rtl/>
        </w:rPr>
        <w:t>.</w:t>
      </w:r>
      <w:r w:rsidRPr="00A76F30">
        <w:rPr>
          <w:rFonts w:ascii="Arial" w:hAnsi="Arial" w:cs="Arial"/>
          <w:sz w:val="22"/>
          <w:szCs w:val="22"/>
          <w:rtl/>
        </w:rPr>
        <w:t>01</w:t>
      </w:r>
    </w:p>
    <w:p w:rsidR="002D3BE6" w:rsidRPr="00A76F30" w:rsidRDefault="002D3BE6" w:rsidP="002D3BE6">
      <w:pPr>
        <w:spacing w:after="160"/>
        <w:ind w:left="84"/>
        <w:contextualSpacing/>
        <w:jc w:val="center"/>
        <w:rPr>
          <w:rFonts w:ascii="Cambria" w:hAnsi="Cambria"/>
          <w:smallCaps/>
          <w:spacing w:val="5"/>
          <w:rtl/>
        </w:rPr>
      </w:pPr>
    </w:p>
    <w:p w:rsidR="002D3BE6" w:rsidRPr="00A76F30" w:rsidRDefault="002D3BE6" w:rsidP="004628C6">
      <w:pPr>
        <w:spacing w:after="160"/>
        <w:ind w:left="84"/>
        <w:contextualSpacing/>
        <w:jc w:val="center"/>
        <w:rPr>
          <w:rFonts w:ascii="Cambria" w:hAnsi="Cambria"/>
          <w:smallCaps/>
          <w:spacing w:val="5"/>
          <w:rtl/>
        </w:rPr>
      </w:pPr>
      <w:r w:rsidRPr="00A76F30">
        <w:rPr>
          <w:rFonts w:ascii="Cambria" w:hAnsi="Cambria" w:hint="cs"/>
          <w:smallCaps/>
          <w:spacing w:val="5"/>
          <w:rtl/>
        </w:rPr>
        <w:t>סמסטר</w:t>
      </w:r>
      <w:r w:rsidRPr="00A76F30">
        <w:rPr>
          <w:rFonts w:ascii="David" w:hAnsi="Cambria" w:hint="cs"/>
          <w:smallCaps/>
          <w:spacing w:val="5"/>
          <w:rtl/>
          <w:lang w:bidi="en-US"/>
        </w:rPr>
        <w:t xml:space="preserve"> </w:t>
      </w:r>
      <w:r w:rsidRPr="00A76F30">
        <w:rPr>
          <w:rFonts w:ascii="Cambria" w:hAnsi="Cambria" w:hint="cs"/>
          <w:smallCaps/>
          <w:spacing w:val="5"/>
          <w:rtl/>
        </w:rPr>
        <w:t xml:space="preserve">א' </w:t>
      </w:r>
      <w:r w:rsidRPr="00A76F30">
        <w:rPr>
          <w:rFonts w:ascii="David" w:hAnsi="Cambria" w:hint="cs"/>
          <w:smallCaps/>
          <w:spacing w:val="5"/>
          <w:rtl/>
          <w:lang w:bidi="en-US"/>
        </w:rPr>
        <w:t xml:space="preserve"> </w:t>
      </w:r>
      <w:r w:rsidRPr="00A76F30">
        <w:rPr>
          <w:rFonts w:ascii="Cambria" w:hAnsi="Cambria" w:hint="cs"/>
          <w:smallCaps/>
          <w:spacing w:val="5"/>
          <w:rtl/>
        </w:rPr>
        <w:t>תשע</w:t>
      </w:r>
      <w:r w:rsidRPr="00A76F30">
        <w:rPr>
          <w:rFonts w:ascii="David" w:hAnsi="Cambria" w:hint="cs"/>
          <w:smallCaps/>
          <w:spacing w:val="5"/>
          <w:rtl/>
          <w:lang w:bidi="en-US"/>
        </w:rPr>
        <w:t>"</w:t>
      </w:r>
      <w:r w:rsidR="004628C6">
        <w:rPr>
          <w:rFonts w:ascii="Cambria" w:hAnsi="Cambria" w:hint="cs"/>
          <w:smallCaps/>
          <w:spacing w:val="5"/>
          <w:rtl/>
        </w:rPr>
        <w:t>ח</w:t>
      </w:r>
    </w:p>
    <w:p w:rsidR="002D3BE6" w:rsidRDefault="002D3BE6" w:rsidP="002D3BE6">
      <w:pPr>
        <w:pStyle w:val="a3"/>
        <w:ind w:left="84"/>
        <w:rPr>
          <w:sz w:val="32"/>
          <w:szCs w:val="32"/>
          <w:rtl/>
        </w:rPr>
      </w:pPr>
    </w:p>
    <w:p w:rsidR="002D3BE6" w:rsidRDefault="002D3BE6" w:rsidP="002D3BE6">
      <w:pPr>
        <w:ind w:left="-908"/>
        <w:rPr>
          <w:rtl/>
        </w:rPr>
      </w:pPr>
      <w:r>
        <w:rPr>
          <w:rFonts w:hint="cs"/>
          <w:rtl/>
        </w:rPr>
        <w:t>הקורס מיועד להקנות הכרות עם תחומי הפסיכולוגיה השונים, הממצאים העיקריים בכל תחום ויישומיהם. התנהגות אנושית תבחן ממספר פרספקטיבות: ביולוגית, התנהגותית, קוגניטיבית, דינמית. בין הנושאים: מערכת העצבים, תפיסה למידה וז</w:t>
      </w:r>
      <w:r w:rsidR="00D3291D">
        <w:rPr>
          <w:rFonts w:hint="cs"/>
          <w:rtl/>
        </w:rPr>
        <w:t>י</w:t>
      </w:r>
      <w:r>
        <w:rPr>
          <w:rFonts w:hint="cs"/>
          <w:rtl/>
        </w:rPr>
        <w:t>כרון, תיאוריות אישיות, פסיכופתולוגיה ופסיכותרפיה. התלמידים ישתתפו בניסויים כחלק מחובות הקורס.</w:t>
      </w:r>
    </w:p>
    <w:p w:rsidR="002D3BE6" w:rsidRDefault="002D3BE6" w:rsidP="002D3BE6">
      <w:pPr>
        <w:ind w:left="-908"/>
        <w:rPr>
          <w:b w:val="0"/>
          <w:bCs w:val="0"/>
          <w:color w:val="000000"/>
          <w:u w:val="single"/>
          <w:rtl/>
        </w:rPr>
      </w:pPr>
    </w:p>
    <w:p w:rsidR="002D3BE6" w:rsidRDefault="002D3BE6" w:rsidP="002D3BE6">
      <w:pPr>
        <w:ind w:left="-908"/>
        <w:rPr>
          <w:b w:val="0"/>
          <w:bCs w:val="0"/>
          <w:color w:val="000000"/>
          <w:rtl/>
        </w:rPr>
      </w:pPr>
      <w:r>
        <w:rPr>
          <w:rFonts w:hint="cs"/>
          <w:b w:val="0"/>
          <w:bCs w:val="0"/>
          <w:color w:val="000000"/>
          <w:u w:val="single"/>
          <w:rtl/>
        </w:rPr>
        <w:t>מרצה</w:t>
      </w:r>
      <w:r>
        <w:rPr>
          <w:rFonts w:hint="cs"/>
          <w:b w:val="0"/>
          <w:bCs w:val="0"/>
          <w:color w:val="000000"/>
          <w:rtl/>
        </w:rPr>
        <w:t xml:space="preserve">:  ד"ר גדי בן שפר, </w:t>
      </w:r>
      <w:hyperlink r:id="rId4" w:history="1">
        <w:r w:rsidRPr="00C2697F">
          <w:rPr>
            <w:rStyle w:val="Hyperlink"/>
            <w:b w:val="0"/>
            <w:bCs w:val="0"/>
          </w:rPr>
          <w:t>gad.bensheffer@gmail.com</w:t>
        </w:r>
      </w:hyperlink>
      <w:r>
        <w:rPr>
          <w:rFonts w:hint="cs"/>
          <w:b w:val="0"/>
          <w:bCs w:val="0"/>
          <w:color w:val="000000"/>
          <w:rtl/>
        </w:rPr>
        <w:t>,   0547674234</w:t>
      </w:r>
    </w:p>
    <w:p w:rsidR="002D3BE6" w:rsidRDefault="002D3BE6" w:rsidP="002D3BE6">
      <w:pPr>
        <w:ind w:left="-908"/>
        <w:rPr>
          <w:b w:val="0"/>
          <w:bCs w:val="0"/>
          <w:u w:val="single"/>
          <w:rtl/>
        </w:rPr>
      </w:pPr>
    </w:p>
    <w:p w:rsidR="002D3BE6" w:rsidRPr="005B5073" w:rsidRDefault="002D3BE6" w:rsidP="002D3BE6">
      <w:pPr>
        <w:ind w:left="-908"/>
        <w:rPr>
          <w:b w:val="0"/>
          <w:bCs w:val="0"/>
          <w:rtl/>
        </w:rPr>
      </w:pPr>
      <w:r>
        <w:rPr>
          <w:rFonts w:hint="cs"/>
          <w:b w:val="0"/>
          <w:bCs w:val="0"/>
          <w:u w:val="single"/>
          <w:rtl/>
        </w:rPr>
        <w:t>ציון הקורס</w:t>
      </w:r>
      <w:r>
        <w:rPr>
          <w:rFonts w:hint="cs"/>
          <w:b w:val="0"/>
          <w:bCs w:val="0"/>
          <w:rtl/>
        </w:rPr>
        <w:t xml:space="preserve">: </w:t>
      </w:r>
      <w:r w:rsidRPr="005B5073">
        <w:rPr>
          <w:rFonts w:hint="cs"/>
          <w:b w:val="0"/>
          <w:bCs w:val="0"/>
          <w:rtl/>
        </w:rPr>
        <w:t>י</w:t>
      </w:r>
      <w:r w:rsidR="00255965">
        <w:rPr>
          <w:rFonts w:hint="cs"/>
          <w:b w:val="0"/>
          <w:bCs w:val="0"/>
          <w:rtl/>
        </w:rPr>
        <w:t>י</w:t>
      </w:r>
      <w:r w:rsidRPr="005B5073">
        <w:rPr>
          <w:rFonts w:hint="cs"/>
          <w:b w:val="0"/>
          <w:bCs w:val="0"/>
          <w:rtl/>
        </w:rPr>
        <w:t>קבע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על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ידי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הציון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בבחינת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 </w:t>
      </w:r>
      <w:r w:rsidRPr="005B5073">
        <w:rPr>
          <w:rFonts w:hint="cs"/>
          <w:b w:val="0"/>
          <w:bCs w:val="0"/>
          <w:rtl/>
        </w:rPr>
        <w:t>סיום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. </w:t>
      </w:r>
      <w:r w:rsidRPr="005B5073">
        <w:rPr>
          <w:rFonts w:hint="cs"/>
          <w:b w:val="0"/>
          <w:bCs w:val="0"/>
          <w:rtl/>
        </w:rPr>
        <w:t>הבחינה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במתכונת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אמריקאית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ובה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יופיעו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36 </w:t>
      </w:r>
      <w:r w:rsidRPr="005B5073">
        <w:rPr>
          <w:rFonts w:hint="cs"/>
          <w:b w:val="0"/>
          <w:bCs w:val="0"/>
          <w:rtl/>
        </w:rPr>
        <w:t>שאלות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המתייחסות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לחומר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הנלמד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בהרצאות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ולחומר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הקריאה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ו</w:t>
      </w:r>
      <w:r w:rsidR="00255965">
        <w:rPr>
          <w:rFonts w:hint="cs"/>
          <w:b w:val="0"/>
          <w:bCs w:val="0"/>
          <w:rtl/>
        </w:rPr>
        <w:t>-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4 </w:t>
      </w:r>
      <w:r w:rsidRPr="005B5073">
        <w:rPr>
          <w:rFonts w:hint="cs"/>
          <w:b w:val="0"/>
          <w:bCs w:val="0"/>
          <w:rtl/>
        </w:rPr>
        <w:t>שאלות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רשות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(</w:t>
      </w:r>
      <w:r w:rsidRPr="005B5073">
        <w:rPr>
          <w:rFonts w:hint="cs"/>
          <w:b w:val="0"/>
          <w:bCs w:val="0"/>
          <w:rtl/>
        </w:rPr>
        <w:t>בונוס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) </w:t>
      </w:r>
      <w:r w:rsidRPr="005B5073">
        <w:rPr>
          <w:rFonts w:hint="cs"/>
          <w:b w:val="0"/>
          <w:bCs w:val="0"/>
          <w:rtl/>
        </w:rPr>
        <w:t>המתייחסות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לקריאת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 </w:t>
      </w:r>
      <w:r w:rsidRPr="005B5073">
        <w:rPr>
          <w:rFonts w:hint="cs"/>
          <w:b w:val="0"/>
          <w:bCs w:val="0"/>
          <w:rtl/>
        </w:rPr>
        <w:t>הרשות</w:t>
      </w:r>
      <w:r w:rsidRPr="005B5073">
        <w:rPr>
          <w:rFonts w:ascii="David" w:hint="cs"/>
          <w:b w:val="0"/>
          <w:bCs w:val="0"/>
          <w:rtl/>
          <w:lang w:bidi="en-US"/>
        </w:rPr>
        <w:t xml:space="preserve">.  </w:t>
      </w:r>
    </w:p>
    <w:p w:rsidR="002D3BE6" w:rsidRDefault="002D3BE6" w:rsidP="002D3BE6">
      <w:pPr>
        <w:pStyle w:val="6"/>
        <w:ind w:left="-908"/>
        <w:rPr>
          <w:rtl/>
        </w:rPr>
      </w:pPr>
    </w:p>
    <w:p w:rsidR="002D3BE6" w:rsidRDefault="002D3BE6" w:rsidP="002D3BE6">
      <w:pPr>
        <w:ind w:left="-908"/>
        <w:rPr>
          <w:b w:val="0"/>
          <w:bCs w:val="0"/>
          <w:rtl/>
        </w:rPr>
      </w:pPr>
      <w:r>
        <w:rPr>
          <w:rFonts w:hint="cs"/>
          <w:b w:val="0"/>
          <w:bCs w:val="0"/>
          <w:u w:val="single"/>
          <w:rtl/>
        </w:rPr>
        <w:t>ספר הקורס</w:t>
      </w:r>
      <w:r>
        <w:rPr>
          <w:rFonts w:hint="cs"/>
          <w:b w:val="0"/>
          <w:bCs w:val="0"/>
          <w:rtl/>
        </w:rPr>
        <w:t xml:space="preserve">: </w:t>
      </w:r>
    </w:p>
    <w:p w:rsidR="002D3BE6" w:rsidRDefault="002D3BE6" w:rsidP="002D3BE6">
      <w:pPr>
        <w:bidi w:val="0"/>
        <w:ind w:left="-908"/>
        <w:rPr>
          <w:b w:val="0"/>
          <w:bCs w:val="0"/>
        </w:rPr>
      </w:pPr>
      <w:r>
        <w:rPr>
          <w:b w:val="0"/>
          <w:bCs w:val="0"/>
        </w:rPr>
        <w:t xml:space="preserve">Nolen- Hoeksama, S.,  Fredrickson, B. L., Loftus, G. R, &amp; Wagenaar, W. A. (2009) </w:t>
      </w:r>
      <w:r>
        <w:rPr>
          <w:b w:val="0"/>
          <w:bCs w:val="0"/>
          <w:u w:val="single"/>
        </w:rPr>
        <w:t>Atkinson &amp; Hilgard’s Introduction to Psychology, 15th Edition</w:t>
      </w:r>
      <w:r>
        <w:rPr>
          <w:b w:val="0"/>
          <w:bCs w:val="0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bCs w:val="0"/>
            </w:rPr>
            <w:t>Wadsworth</w:t>
          </w:r>
        </w:smartTag>
      </w:smartTag>
      <w:r>
        <w:rPr>
          <w:b w:val="0"/>
          <w:bCs w:val="0"/>
        </w:rPr>
        <w:t xml:space="preserve"> Cengage Learning</w:t>
      </w:r>
      <w:proofErr w:type="gramStart"/>
      <w:r>
        <w:rPr>
          <w:b w:val="0"/>
          <w:bCs w:val="0"/>
        </w:rPr>
        <w:t>..</w:t>
      </w:r>
      <w:proofErr w:type="gramEnd"/>
    </w:p>
    <w:p w:rsidR="002D3BE6" w:rsidRDefault="002D3BE6" w:rsidP="002D3BE6">
      <w:pPr>
        <w:bidi w:val="0"/>
        <w:ind w:left="-908"/>
        <w:rPr>
          <w:b w:val="0"/>
          <w:bCs w:val="0"/>
        </w:rPr>
      </w:pPr>
    </w:p>
    <w:p w:rsidR="002D3BE6" w:rsidRPr="00065C26" w:rsidRDefault="002D3BE6" w:rsidP="002D3BE6">
      <w:pPr>
        <w:spacing w:after="160" w:line="288" w:lineRule="auto"/>
        <w:ind w:left="-908"/>
        <w:rPr>
          <w:b w:val="0"/>
          <w:bCs w:val="0"/>
          <w:color w:val="5A5A5A"/>
          <w:sz w:val="18"/>
          <w:szCs w:val="18"/>
          <w:rtl/>
        </w:rPr>
      </w:pPr>
      <w:r>
        <w:rPr>
          <w:rFonts w:hint="cs"/>
          <w:b w:val="0"/>
          <w:bCs w:val="0"/>
          <w:sz w:val="20"/>
          <w:szCs w:val="20"/>
          <w:rtl/>
        </w:rPr>
        <w:t xml:space="preserve">ספר הקורס נמצא בספריית מדעי החברה במדור 'שמורים' </w:t>
      </w:r>
      <w:r>
        <w:rPr>
          <w:rFonts w:hint="cs"/>
          <w:b w:val="0"/>
          <w:bCs w:val="0"/>
          <w:sz w:val="20"/>
          <w:szCs w:val="20"/>
        </w:rPr>
        <w:t>150</w:t>
      </w:r>
      <w:r>
        <w:rPr>
          <w:b w:val="0"/>
          <w:bCs w:val="0"/>
          <w:sz w:val="20"/>
          <w:szCs w:val="20"/>
        </w:rPr>
        <w:t xml:space="preserve"> INT)</w:t>
      </w:r>
      <w:r>
        <w:rPr>
          <w:rFonts w:hint="cs"/>
          <w:b w:val="0"/>
          <w:bCs w:val="0"/>
          <w:sz w:val="20"/>
          <w:szCs w:val="20"/>
          <w:rtl/>
        </w:rPr>
        <w:t xml:space="preserve">). </w:t>
      </w:r>
      <w:r>
        <w:rPr>
          <w:rFonts w:hint="cs"/>
          <w:color w:val="5A5A5A"/>
          <w:sz w:val="18"/>
          <w:szCs w:val="18"/>
          <w:rtl/>
        </w:rPr>
        <w:t>כל חומר הקריאה המלווה את הקורס נמצא בעותקים דיגיטל</w:t>
      </w:r>
      <w:r w:rsidR="0024780F">
        <w:rPr>
          <w:rFonts w:hint="cs"/>
          <w:color w:val="5A5A5A"/>
          <w:sz w:val="18"/>
          <w:szCs w:val="18"/>
          <w:rtl/>
        </w:rPr>
        <w:t>י</w:t>
      </w:r>
      <w:r>
        <w:rPr>
          <w:rFonts w:hint="cs"/>
          <w:color w:val="5A5A5A"/>
          <w:sz w:val="18"/>
          <w:szCs w:val="18"/>
          <w:rtl/>
        </w:rPr>
        <w:t>ים באתר הקורס ב</w:t>
      </w:r>
      <w:r w:rsidR="00E86595">
        <w:rPr>
          <w:rFonts w:hint="cs"/>
          <w:color w:val="5A5A5A"/>
          <w:sz w:val="18"/>
          <w:szCs w:val="18"/>
          <w:rtl/>
        </w:rPr>
        <w:t>-</w:t>
      </w:r>
      <w:r>
        <w:rPr>
          <w:color w:val="5A5A5A"/>
          <w:sz w:val="18"/>
          <w:szCs w:val="18"/>
        </w:rPr>
        <w:t>moodle</w:t>
      </w:r>
      <w:r>
        <w:rPr>
          <w:rFonts w:hint="cs"/>
          <w:color w:val="5A5A5A"/>
          <w:sz w:val="18"/>
          <w:szCs w:val="18"/>
          <w:rtl/>
        </w:rPr>
        <w:t xml:space="preserve">.  </w:t>
      </w:r>
      <w:r w:rsidRPr="00065C26">
        <w:rPr>
          <w:rFonts w:hint="cs"/>
          <w:color w:val="5A5A5A"/>
          <w:sz w:val="18"/>
          <w:szCs w:val="18"/>
          <w:rtl/>
        </w:rPr>
        <w:t xml:space="preserve"> </w:t>
      </w:r>
    </w:p>
    <w:p w:rsidR="002D3BE6" w:rsidRDefault="002D3BE6" w:rsidP="002D3BE6">
      <w:pPr>
        <w:ind w:left="-874"/>
        <w:rPr>
          <w:b w:val="0"/>
          <w:bCs w:val="0"/>
          <w:sz w:val="20"/>
          <w:szCs w:val="20"/>
          <w:rtl/>
        </w:rPr>
      </w:pPr>
    </w:p>
    <w:p w:rsidR="002D3BE6" w:rsidRDefault="004D3703" w:rsidP="002D3BE6">
      <w:pPr>
        <w:ind w:left="-874"/>
        <w:rPr>
          <w:b w:val="0"/>
          <w:bCs w:val="0"/>
          <w:u w:val="single"/>
          <w:rtl/>
        </w:rPr>
      </w:pPr>
      <w:r>
        <w:rPr>
          <w:rFonts w:hint="cs"/>
          <w:b w:val="0"/>
          <w:bCs w:val="0"/>
          <w:u w:val="single"/>
          <w:rtl/>
        </w:rPr>
        <w:t>ת</w:t>
      </w:r>
      <w:r w:rsidR="002D3BE6">
        <w:rPr>
          <w:rFonts w:hint="cs"/>
          <w:b w:val="0"/>
          <w:bCs w:val="0"/>
          <w:u w:val="single"/>
          <w:rtl/>
        </w:rPr>
        <w:t>כנית הקורס ורשימת ספרות</w:t>
      </w:r>
      <w:r w:rsidR="002D3BE6">
        <w:rPr>
          <w:rFonts w:hint="cs"/>
          <w:b w:val="0"/>
          <w:bCs w:val="0"/>
          <w:rtl/>
        </w:rPr>
        <w:t>:</w:t>
      </w:r>
    </w:p>
    <w:p w:rsidR="002D3BE6" w:rsidRDefault="002D3BE6" w:rsidP="002D3BE6">
      <w:pPr>
        <w:pStyle w:val="6"/>
        <w:ind w:left="-874"/>
        <w:rPr>
          <w:rtl/>
        </w:rPr>
      </w:pPr>
    </w:p>
    <w:tbl>
      <w:tblPr>
        <w:bidiVisual/>
        <w:tblW w:w="104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863"/>
        <w:gridCol w:w="3385"/>
      </w:tblGrid>
      <w:tr w:rsidR="002D3BE6" w:rsidTr="00074AA0">
        <w:tc>
          <w:tcPr>
            <w:tcW w:w="3196" w:type="dxa"/>
          </w:tcPr>
          <w:p w:rsidR="002D3BE6" w:rsidRDefault="002D3BE6" w:rsidP="00074AA0">
            <w:pPr>
              <w:pStyle w:val="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הלימוד</w:t>
            </w:r>
          </w:p>
        </w:tc>
        <w:tc>
          <w:tcPr>
            <w:tcW w:w="3863" w:type="dxa"/>
          </w:tcPr>
          <w:p w:rsidR="002D3BE6" w:rsidRDefault="002D3BE6" w:rsidP="00074AA0">
            <w:pPr>
              <w:pStyle w:val="2"/>
              <w:bidi w:val="0"/>
              <w:jc w:val="center"/>
            </w:pPr>
            <w:r>
              <w:rPr>
                <w:rFonts w:hint="cs"/>
                <w:rtl/>
              </w:rPr>
              <w:t>קריאת חובה</w:t>
            </w:r>
          </w:p>
        </w:tc>
        <w:tc>
          <w:tcPr>
            <w:tcW w:w="3385" w:type="dxa"/>
          </w:tcPr>
          <w:p w:rsidR="002D3BE6" w:rsidRDefault="002D3BE6" w:rsidP="00074AA0">
            <w:pPr>
              <w:pStyle w:val="2"/>
              <w:jc w:val="center"/>
            </w:pPr>
            <w:r>
              <w:rPr>
                <w:rFonts w:hint="cs"/>
                <w:rtl/>
              </w:rPr>
              <w:t>קריאת רשות</w:t>
            </w: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שיטות המחקר בפסיכולוגיה</w:t>
            </w:r>
          </w:p>
        </w:tc>
        <w:tc>
          <w:tcPr>
            <w:tcW w:w="3863" w:type="dxa"/>
          </w:tcPr>
          <w:p w:rsidR="002D3BE6" w:rsidRDefault="002D3BE6" w:rsidP="00074AA0">
            <w:pPr>
              <w:pStyle w:val="1"/>
            </w:pPr>
            <w:r>
              <w:t>Contemporary psychological perspectives pp. 12-17</w:t>
            </w:r>
          </w:p>
          <w:p w:rsidR="002D3BE6" w:rsidRDefault="002D3BE6" w:rsidP="00074AA0">
            <w:pPr>
              <w:pStyle w:val="1"/>
            </w:pPr>
            <w:r>
              <w:t>How psychological research is done.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18- 25</w:t>
            </w:r>
          </w:p>
        </w:tc>
        <w:tc>
          <w:tcPr>
            <w:tcW w:w="3385" w:type="dxa"/>
          </w:tcPr>
          <w:p w:rsidR="002D3BE6" w:rsidRPr="00211E3D" w:rsidRDefault="002D3BE6" w:rsidP="00074AA0">
            <w:pPr>
              <w:rPr>
                <w:sz w:val="22"/>
                <w:szCs w:val="22"/>
                <w:u w:val="single"/>
                <w:rtl/>
              </w:rPr>
            </w:pPr>
            <w:r w:rsidRPr="00211E3D">
              <w:rPr>
                <w:rFonts w:hint="cs"/>
                <w:sz w:val="22"/>
                <w:szCs w:val="22"/>
                <w:u w:val="single"/>
                <w:rtl/>
              </w:rPr>
              <w:t>רשות:</w:t>
            </w:r>
          </w:p>
          <w:p w:rsidR="002D3BE6" w:rsidRDefault="002D3BE6" w:rsidP="00074AA0">
            <w:pPr>
              <w:pStyle w:val="1"/>
            </w:pPr>
            <w:r>
              <w:t>How psychological research is done.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18- 25</w:t>
            </w: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הפרספקטיבה הביולוגית א'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foundations of psychology.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32-43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 w:rsidRPr="00A83533">
              <w:rPr>
                <w:rFonts w:hint="cs"/>
                <w:sz w:val="22"/>
                <w:szCs w:val="22"/>
                <w:u w:val="single"/>
                <w:rtl/>
              </w:rPr>
              <w:t>רשות:</w:t>
            </w:r>
            <w:r>
              <w:rPr>
                <w:rFonts w:hint="cs"/>
                <w:sz w:val="22"/>
                <w:szCs w:val="22"/>
                <w:rtl/>
              </w:rPr>
              <w:t xml:space="preserve"> 'סערת נפש'/ י. יובל: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פרקים 14 ו15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עמ' 305- 341</w:t>
            </w: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הפרספקטיבה הביולוגית ב'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foundations of psychology pp. 43-61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תפיסה</w:t>
            </w:r>
            <w:r>
              <w:rPr>
                <w:rFonts w:hint="cs"/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3863" w:type="dxa"/>
          </w:tcPr>
          <w:p w:rsidR="002D3BE6" w:rsidRDefault="002D3BE6" w:rsidP="00074AA0">
            <w:pPr>
              <w:pStyle w:val="1"/>
            </w:pPr>
            <w:r>
              <w:t>Perception. pp. 151-</w:t>
            </w:r>
            <w:r>
              <w:rPr>
                <w:rFonts w:hint="cs"/>
                <w:rtl/>
              </w:rPr>
              <w:t>174</w:t>
            </w:r>
          </w:p>
          <w:p w:rsidR="002D3BE6" w:rsidRDefault="002D3BE6" w:rsidP="00074AA0">
            <w:pPr>
              <w:rPr>
                <w:rtl/>
              </w:rPr>
            </w:pP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רשות: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'העיר', עמ' 58-62 , 30.8.01:</w:t>
            </w:r>
          </w:p>
          <w:p w:rsidR="002D3BE6" w:rsidRPr="00A83533" w:rsidRDefault="002D3BE6" w:rsidP="00074AA0">
            <w:r>
              <w:rPr>
                <w:rFonts w:hint="cs"/>
                <w:sz w:val="22"/>
                <w:szCs w:val="22"/>
                <w:rtl/>
              </w:rPr>
              <w:t>"למה הספרה חמש מחוספסת"</w:t>
            </w:r>
          </w:p>
          <w:p w:rsidR="002D3BE6" w:rsidRPr="00211E3D" w:rsidRDefault="002D3BE6" w:rsidP="00074AA0">
            <w:pPr>
              <w:rPr>
                <w:sz w:val="22"/>
                <w:szCs w:val="22"/>
                <w:u w:val="single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תפיסה ב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Perceptual constancies.</w:t>
            </w:r>
          </w:p>
          <w:p w:rsidR="002D3BE6" w:rsidRPr="005B5073" w:rsidRDefault="002D3BE6" w:rsidP="00074AA0">
            <w:pPr>
              <w:jc w:val="right"/>
            </w:pPr>
            <w:r>
              <w:rPr>
                <w:sz w:val="22"/>
                <w:szCs w:val="22"/>
              </w:rPr>
              <w:t xml:space="preserve"> pp. 179-184</w:t>
            </w:r>
          </w:p>
          <w:p w:rsidR="002D3BE6" w:rsidRPr="005B5073" w:rsidRDefault="002D3BE6" w:rsidP="00074AA0">
            <w:pPr>
              <w:rPr>
                <w:rtl/>
              </w:rPr>
            </w:pP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למידה, טיפול קוגניטיבי התנהגותי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and conditioning.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pp. 237-257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 w:rsidRPr="005B5073">
              <w:rPr>
                <w:rFonts w:hint="cs"/>
                <w:sz w:val="22"/>
                <w:szCs w:val="22"/>
                <w:u w:val="single"/>
                <w:rtl/>
              </w:rPr>
              <w:t>רשות</w:t>
            </w:r>
            <w:r>
              <w:rPr>
                <w:rFonts w:hint="cs"/>
                <w:sz w:val="22"/>
                <w:szCs w:val="22"/>
                <w:rtl/>
              </w:rPr>
              <w:t>: 'סערת נפש'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פרק 5, עמ' 121-146</w:t>
            </w:r>
          </w:p>
        </w:tc>
      </w:tr>
      <w:tr w:rsidR="002D3BE6" w:rsidTr="00074AA0">
        <w:tc>
          <w:tcPr>
            <w:tcW w:w="3196" w:type="dxa"/>
          </w:tcPr>
          <w:p w:rsidR="002D3BE6" w:rsidRPr="0062387B" w:rsidRDefault="002D3BE6" w:rsidP="00074AA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cs"/>
                <w:sz w:val="22"/>
                <w:szCs w:val="22"/>
                <w:rtl/>
              </w:rPr>
              <w:t>ז</w:t>
            </w:r>
            <w:r w:rsidR="0024780F">
              <w:rPr>
                <w:rFonts w:hint="cs"/>
                <w:sz w:val="22"/>
                <w:szCs w:val="22"/>
                <w:rtl/>
              </w:rPr>
              <w:t>י</w:t>
            </w:r>
            <w:r>
              <w:rPr>
                <w:rFonts w:hint="cs"/>
                <w:sz w:val="22"/>
                <w:szCs w:val="22"/>
                <w:rtl/>
              </w:rPr>
              <w:t>כרון א':  על טבעו הדינמי והמשתנה של הזיכרון האנושי</w:t>
            </w:r>
            <w:r w:rsidRPr="0062387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Memory. pp. 271- 306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'האיש שחשב שאשתו היא כובע'/א. סאקס: "הימאי האבוד"   עמ' 35-53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ז</w:t>
            </w:r>
            <w:r w:rsidR="0024780F">
              <w:rPr>
                <w:rFonts w:hint="cs"/>
                <w:sz w:val="22"/>
                <w:szCs w:val="22"/>
                <w:rtl/>
              </w:rPr>
              <w:t>י</w:t>
            </w:r>
            <w:r>
              <w:rPr>
                <w:rFonts w:hint="cs"/>
                <w:sz w:val="22"/>
                <w:szCs w:val="22"/>
                <w:rtl/>
              </w:rPr>
              <w:t>כרון ב':  על טבעו הדינמי והמשתנה של הזיכרון האנושי</w:t>
            </w:r>
            <w:r w:rsidRPr="0062387B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u w:val="single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רשות:</w:t>
            </w:r>
          </w:p>
          <w:p w:rsidR="002D3BE6" w:rsidRPr="00211E3D" w:rsidRDefault="002D3BE6" w:rsidP="00074AA0">
            <w:pPr>
              <w:rPr>
                <w:sz w:val="22"/>
                <w:szCs w:val="22"/>
                <w:u w:val="single"/>
                <w:rtl/>
              </w:rPr>
            </w:pPr>
            <w:r>
              <w:t xml:space="preserve">Loftus (2003): </w:t>
            </w:r>
            <w:hyperlink r:id="rId5" w:tgtFrame="_parent" w:tooltip="Science and Society: Our changeable memories: legal and practical implications" w:history="1">
              <w:r w:rsidRPr="00544B29">
                <w:rPr>
                  <w:rStyle w:val="Hyperlink"/>
                  <w:rFonts w:hAnsi="Cambria" w:cs="Times New Roman"/>
                  <w:smallCaps/>
                  <w:spacing w:val="20"/>
                  <w:sz w:val="14"/>
                  <w:szCs w:val="14"/>
                  <w:lang w:bidi="en-US"/>
                </w:rPr>
                <w:t>Science and Society: Our changeable memories: legal and practical implications</w:t>
              </w:r>
            </w:hyperlink>
          </w:p>
        </w:tc>
      </w:tr>
    </w:tbl>
    <w:p w:rsidR="002D3BE6" w:rsidRDefault="002D3BE6" w:rsidP="002D3BE6">
      <w:r>
        <w:br w:type="page"/>
      </w:r>
    </w:p>
    <w:tbl>
      <w:tblPr>
        <w:bidiVisual/>
        <w:tblW w:w="104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863"/>
        <w:gridCol w:w="3385"/>
      </w:tblGrid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הפרעות אכילה: אנורקסיה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Motivation: Hunger.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375-378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 xml:space="preserve">רשות: </w:t>
            </w:r>
            <w:r>
              <w:rPr>
                <w:rFonts w:hint="cs"/>
                <w:sz w:val="22"/>
                <w:szCs w:val="22"/>
                <w:rtl/>
              </w:rPr>
              <w:t xml:space="preserve">'מוסף הארץ', עמ' 18-24, 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 w:rsidRPr="00211E3D">
              <w:rPr>
                <w:rFonts w:hint="cs"/>
                <w:sz w:val="22"/>
                <w:szCs w:val="22"/>
                <w:u w:val="single"/>
                <w:rtl/>
              </w:rPr>
              <w:t>רשות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'סערת נפש':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פרק 9, עמ' 221-235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קשיים בתפקוד אקדמי: דחיינות אקדמית וחרדת בחינות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אין קריאה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פרויד והפסיכואנליזה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psychoanalytic approach.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pp. 467-473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פרויד ומעבר לו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psychoanalytic approach.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pp. 472-477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מוסף הארץ, עמ' 12-18, 30.4.04:" הטעות של פרויד"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פסיכולוגית העצמי של היינץ קוהוט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 w:rsidRPr="008A6E21">
              <w:rPr>
                <w:sz w:val="22"/>
                <w:szCs w:val="22"/>
              </w:rPr>
              <w:t xml:space="preserve">Kohut, H., &amp; Wolf E. S. (1978). The disorders of the self and their treatment: an outline. </w:t>
            </w:r>
            <w:r w:rsidRPr="008A6E21">
              <w:rPr>
                <w:i/>
                <w:iCs/>
                <w:sz w:val="22"/>
                <w:szCs w:val="22"/>
              </w:rPr>
              <w:t xml:space="preserve">International Journal of Psychoanalysis, </w:t>
            </w:r>
            <w:r w:rsidRPr="008A6E21">
              <w:rPr>
                <w:sz w:val="22"/>
                <w:szCs w:val="22"/>
              </w:rPr>
              <w:t>59, pp. 413-425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קריאת רשות עד עמ' 418</w:t>
            </w: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הפסיכולוגיה ההומניסטית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humanistic approach.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pp.  4</w:t>
            </w:r>
            <w:r>
              <w:rPr>
                <w:rFonts w:hint="cs"/>
                <w:sz w:val="22"/>
                <w:szCs w:val="22"/>
                <w:rtl/>
              </w:rPr>
              <w:t>84</w:t>
            </w:r>
            <w:r>
              <w:rPr>
                <w:sz w:val="22"/>
                <w:szCs w:val="22"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>488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"החתול והחמאה":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קווים לדמותה של הפסיכולוגיה האקזיסטנציאליסטית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</w:p>
        </w:tc>
        <w:tc>
          <w:tcPr>
            <w:tcW w:w="3863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</w:tcPr>
          <w:p w:rsidR="002D3BE6" w:rsidRPr="00A83533" w:rsidRDefault="002D3BE6" w:rsidP="00074AA0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מבט פסיכואנליטי באגדות ילדים: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המקרה של עוץ לי גוץ לי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2D3BE6" w:rsidRDefault="002D3BE6" w:rsidP="002F0965">
            <w:pPr>
              <w:bidi w:val="0"/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קריאת האגדות שלגיה, כיפה אדומה, ורומפלסטילטסקין טרם השיעור</w:t>
            </w:r>
          </w:p>
        </w:tc>
        <w:tc>
          <w:tcPr>
            <w:tcW w:w="3385" w:type="dxa"/>
          </w:tcPr>
          <w:p w:rsidR="002D3BE6" w:rsidRPr="00A83533" w:rsidRDefault="002D3BE6" w:rsidP="00074AA0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התנהגות אבנורמלית- הפרעות חרדה, הפרעה אובססיבית קומפולסיבית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sychological Disorders: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Anxiety disorders. Pp. 543- 550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'הילד שלא הצליח להפסיק להתרחץ': </w:t>
            </w:r>
          </w:p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"תאונת הדרכים שמעולם לא  היתה", עמ' 21- 29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'ידיעות אחרונות 7 ימים', עמ' 46-50, 13.12.02: "העולם השתגע"</w:t>
            </w: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pStyle w:val="1"/>
              <w:bidi/>
              <w:rPr>
                <w:rtl/>
              </w:rPr>
            </w:pPr>
            <w:r>
              <w:rPr>
                <w:rFonts w:hint="cs"/>
                <w:rtl/>
              </w:rPr>
              <w:t>הפרעות מצב רוח</w:t>
            </w: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Mood disorders. 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551-556</w:t>
            </w:r>
          </w:p>
        </w:tc>
        <w:tc>
          <w:tcPr>
            <w:tcW w:w="3385" w:type="dxa"/>
          </w:tcPr>
          <w:p w:rsidR="002D3BE6" w:rsidRDefault="002D3BE6" w:rsidP="00074AA0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'סערת נפש': פרק 10, עמ' 237-253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u w:val="single"/>
                <w:rtl/>
              </w:rPr>
              <w:t>רשות</w:t>
            </w:r>
            <w:r>
              <w:rPr>
                <w:rFonts w:hint="cs"/>
                <w:sz w:val="22"/>
                <w:szCs w:val="22"/>
                <w:rtl/>
              </w:rPr>
              <w:t>: פעמון הזכוכית/ס. פלאת</w:t>
            </w: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הפרעות אישיות</w:t>
            </w:r>
          </w:p>
          <w:p w:rsidR="002D3BE6" w:rsidRPr="00616144" w:rsidRDefault="002D3BE6" w:rsidP="00074AA0">
            <w:pPr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863" w:type="dxa"/>
          </w:tcPr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 Disorders</w:t>
            </w:r>
          </w:p>
          <w:p w:rsidR="002D3BE6" w:rsidRDefault="002D3BE6" w:rsidP="00074AA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pp. 565-568</w:t>
            </w:r>
          </w:p>
        </w:tc>
        <w:tc>
          <w:tcPr>
            <w:tcW w:w="3385" w:type="dxa"/>
          </w:tcPr>
          <w:p w:rsidR="002D3BE6" w:rsidRDefault="002D3BE6" w:rsidP="00074AA0">
            <w:pPr>
              <w:jc w:val="center"/>
              <w:rPr>
                <w:sz w:val="22"/>
                <w:szCs w:val="22"/>
              </w:rPr>
            </w:pPr>
          </w:p>
        </w:tc>
      </w:tr>
      <w:tr w:rsidR="002D3BE6" w:rsidTr="00074AA0">
        <w:tc>
          <w:tcPr>
            <w:tcW w:w="3196" w:type="dxa"/>
          </w:tcPr>
          <w:p w:rsidR="002D3BE6" w:rsidRDefault="002D3BE6" w:rsidP="00074AA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שיעור סיום</w:t>
            </w:r>
          </w:p>
          <w:p w:rsidR="002D3BE6" w:rsidRDefault="002D3BE6" w:rsidP="00074AA0">
            <w:pPr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2D3BE6" w:rsidRDefault="002D3BE6" w:rsidP="002F0965">
            <w:pPr>
              <w:bidi w:val="0"/>
              <w:jc w:val="righ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בשיעור יוקדש פרק זמן לשאלות על כל פרקי הלימוד לקראת הבחינה, ניתן לשלוח שאלות בדוא"ל לקראת השיעור</w:t>
            </w:r>
          </w:p>
        </w:tc>
        <w:tc>
          <w:tcPr>
            <w:tcW w:w="3385" w:type="dxa"/>
          </w:tcPr>
          <w:p w:rsidR="002D3BE6" w:rsidRDefault="002D3BE6" w:rsidP="00074AA0">
            <w:pPr>
              <w:rPr>
                <w:sz w:val="22"/>
                <w:szCs w:val="22"/>
              </w:rPr>
            </w:pPr>
          </w:p>
        </w:tc>
      </w:tr>
    </w:tbl>
    <w:p w:rsidR="002D3BE6" w:rsidRDefault="002D3BE6" w:rsidP="002D3BE6">
      <w:pPr>
        <w:ind w:left="-874"/>
        <w:rPr>
          <w:rtl/>
        </w:rPr>
      </w:pPr>
    </w:p>
    <w:p w:rsidR="002D3BE6" w:rsidRDefault="002D3BE6" w:rsidP="002D3BE6">
      <w:pPr>
        <w:ind w:left="-874"/>
        <w:jc w:val="center"/>
        <w:rPr>
          <w:sz w:val="28"/>
          <w:szCs w:val="28"/>
          <w:rtl/>
        </w:rPr>
      </w:pPr>
    </w:p>
    <w:p w:rsidR="002D3BE6" w:rsidRPr="00E53830" w:rsidRDefault="002D3BE6" w:rsidP="002D3BE6">
      <w:pPr>
        <w:ind w:left="-874"/>
        <w:jc w:val="center"/>
        <w:rPr>
          <w:sz w:val="28"/>
          <w:szCs w:val="28"/>
          <w:rtl/>
        </w:rPr>
      </w:pPr>
      <w:r w:rsidRPr="00E53830">
        <w:rPr>
          <w:rFonts w:hint="cs"/>
          <w:sz w:val="28"/>
          <w:szCs w:val="28"/>
          <w:rtl/>
        </w:rPr>
        <w:t>אני מאחל לכולכן/כולכם סמסטר מעניין ונעים, גדי</w:t>
      </w:r>
    </w:p>
    <w:p w:rsidR="00E43C8C" w:rsidRDefault="00E43C8C"/>
    <w:sectPr w:rsidR="00E43C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E6"/>
    <w:rsid w:val="00096162"/>
    <w:rsid w:val="001261B6"/>
    <w:rsid w:val="0024780F"/>
    <w:rsid w:val="00255965"/>
    <w:rsid w:val="002D3BE6"/>
    <w:rsid w:val="002F0965"/>
    <w:rsid w:val="0041232A"/>
    <w:rsid w:val="00441394"/>
    <w:rsid w:val="004628C6"/>
    <w:rsid w:val="004D3703"/>
    <w:rsid w:val="00693996"/>
    <w:rsid w:val="009B64FA"/>
    <w:rsid w:val="00D3291D"/>
    <w:rsid w:val="00E43C8C"/>
    <w:rsid w:val="00E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74B90AA-B150-480A-8F9D-241FEFEF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E6"/>
    <w:pPr>
      <w:bidi/>
      <w:spacing w:after="0" w:line="240" w:lineRule="auto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2D3BE6"/>
    <w:pPr>
      <w:keepNext/>
      <w:bidi w:val="0"/>
      <w:outlineLvl w:val="0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D3BE6"/>
    <w:pPr>
      <w:keepNext/>
      <w:outlineLvl w:val="1"/>
    </w:pPr>
    <w:rPr>
      <w:i/>
      <w:iCs/>
    </w:rPr>
  </w:style>
  <w:style w:type="paragraph" w:styleId="6">
    <w:name w:val="heading 6"/>
    <w:basedOn w:val="a"/>
    <w:next w:val="a"/>
    <w:link w:val="60"/>
    <w:qFormat/>
    <w:rsid w:val="002D3BE6"/>
    <w:pPr>
      <w:keepNext/>
      <w:outlineLvl w:val="5"/>
    </w:pPr>
    <w:rPr>
      <w:b w:val="0"/>
      <w:bC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D3BE6"/>
    <w:rPr>
      <w:rFonts w:ascii="Times New Roman" w:eastAsia="Times New Roman" w:hAnsi="Times New Roman" w:cs="David"/>
      <w:b/>
      <w:bCs/>
      <w:lang w:eastAsia="he-IL"/>
    </w:rPr>
  </w:style>
  <w:style w:type="character" w:customStyle="1" w:styleId="20">
    <w:name w:val="כותרת 2 תו"/>
    <w:basedOn w:val="a0"/>
    <w:link w:val="2"/>
    <w:rsid w:val="002D3BE6"/>
    <w:rPr>
      <w:rFonts w:ascii="Times New Roman" w:eastAsia="Times New Roman" w:hAnsi="Times New Roman" w:cs="David"/>
      <w:b/>
      <w:bCs/>
      <w:i/>
      <w:i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2D3BE6"/>
    <w:rPr>
      <w:rFonts w:ascii="Times New Roman" w:eastAsia="Times New Roman" w:hAnsi="Times New Roman" w:cs="David"/>
      <w:sz w:val="24"/>
      <w:szCs w:val="24"/>
      <w:u w:val="single"/>
      <w:lang w:eastAsia="he-IL"/>
    </w:rPr>
  </w:style>
  <w:style w:type="character" w:styleId="Hyperlink">
    <w:name w:val="Hyperlink"/>
    <w:uiPriority w:val="99"/>
    <w:rsid w:val="002D3BE6"/>
    <w:rPr>
      <w:color w:val="0000FF"/>
      <w:u w:val="single"/>
    </w:rPr>
  </w:style>
  <w:style w:type="paragraph" w:customStyle="1" w:styleId="a3">
    <w:basedOn w:val="a"/>
    <w:next w:val="a4"/>
    <w:qFormat/>
    <w:rsid w:val="002D3BE6"/>
    <w:pPr>
      <w:jc w:val="center"/>
    </w:pPr>
  </w:style>
  <w:style w:type="paragraph" w:styleId="a5">
    <w:name w:val="Body Text"/>
    <w:basedOn w:val="a"/>
    <w:link w:val="a6"/>
    <w:rsid w:val="002D3BE6"/>
    <w:rPr>
      <w:sz w:val="22"/>
      <w:szCs w:val="22"/>
    </w:rPr>
  </w:style>
  <w:style w:type="character" w:customStyle="1" w:styleId="a6">
    <w:name w:val="גוף טקסט תו"/>
    <w:basedOn w:val="a0"/>
    <w:link w:val="a5"/>
    <w:rsid w:val="002D3BE6"/>
    <w:rPr>
      <w:rFonts w:ascii="Times New Roman" w:eastAsia="Times New Roman" w:hAnsi="Times New Roman" w:cs="David"/>
      <w:b/>
      <w:bCs/>
      <w:lang w:eastAsia="he-IL"/>
    </w:rPr>
  </w:style>
  <w:style w:type="paragraph" w:styleId="a4">
    <w:name w:val="Title"/>
    <w:basedOn w:val="a"/>
    <w:next w:val="a"/>
    <w:link w:val="a7"/>
    <w:uiPriority w:val="10"/>
    <w:qFormat/>
    <w:rsid w:val="002D3B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4"/>
    <w:uiPriority w:val="10"/>
    <w:rsid w:val="002D3BE6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deley.com/research/science-society-changeable-memories-legal-practical-implications/" TargetMode="External"/><Relationship Id="rId4" Type="http://schemas.openxmlformats.org/officeDocument/2006/relationships/hyperlink" Target="mailto:gad.bensheffer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Cohen</dc:creator>
  <cp:lastModifiedBy>MichalK</cp:lastModifiedBy>
  <cp:revision>2</cp:revision>
  <dcterms:created xsi:type="dcterms:W3CDTF">2017-11-16T10:26:00Z</dcterms:created>
  <dcterms:modified xsi:type="dcterms:W3CDTF">2017-11-16T10:26:00Z</dcterms:modified>
</cp:coreProperties>
</file>